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Bookman Old Style" w:hAnsi="Bookman Old Style" w:eastAsia="Bookman Old Style" w:cs="Bookman Old Style"/>
          <w:color w:val="00B050"/>
          <w:sz w:val="16"/>
          <w:szCs w:val="16"/>
        </w:rPr>
      </w:pPr>
      <w:r>
        <w:rPr>
          <w:color w:val="00B050"/>
        </w:rPr>
        <mc:AlternateContent>
          <mc:Choice Requires="wps">
            <w:drawing>
              <wp:anchor distT="0" distB="0" distL="114300" distR="114300" simplePos="0" relativeHeight="251659264" behindDoc="0" locked="0" layoutInCell="1" allowOverlap="1">
                <wp:simplePos x="0" y="0"/>
                <wp:positionH relativeFrom="column">
                  <wp:posOffset>1123950</wp:posOffset>
                </wp:positionH>
                <wp:positionV relativeFrom="paragraph">
                  <wp:posOffset>-218440</wp:posOffset>
                </wp:positionV>
                <wp:extent cx="4084320" cy="1619250"/>
                <wp:effectExtent l="19050" t="19050" r="30480" b="38100"/>
                <wp:wrapNone/>
                <wp:docPr id="3" name="Rectangle 3"/>
                <wp:cNvGraphicFramePr/>
                <a:graphic xmlns:a="http://schemas.openxmlformats.org/drawingml/2006/main">
                  <a:graphicData uri="http://schemas.microsoft.com/office/word/2010/wordprocessingShape">
                    <wps:wsp>
                      <wps:cNvSpPr>
                        <a:spLocks noChangeArrowheads="1"/>
                      </wps:cNvSpPr>
                      <wps:spPr bwMode="auto">
                        <a:xfrm>
                          <a:off x="0" y="0"/>
                          <a:ext cx="4084320" cy="1619250"/>
                        </a:xfrm>
                        <a:prstGeom prst="rect">
                          <a:avLst/>
                        </a:prstGeom>
                        <a:noFill/>
                        <a:ln w="50800">
                          <a:solidFill>
                            <a:srgbClr val="0000FF"/>
                          </a:solidFill>
                          <a:miter lim="800000"/>
                        </a:ln>
                      </wps:spPr>
                      <wps:txbx>
                        <w:txbxContent>
                          <w:p>
                            <w:pPr>
                              <w:autoSpaceDE w:val="0"/>
                              <w:autoSpaceDN w:val="0"/>
                              <w:adjustRightInd w:val="0"/>
                              <w:jc w:val="center"/>
                              <w:rPr>
                                <w:rFonts w:ascii="Tahoma" w:hAnsi="Tahoma" w:cs="Tahoma"/>
                                <w:b/>
                                <w:bCs/>
                                <w:color w:val="0000FF"/>
                                <w:sz w:val="52"/>
                                <w:szCs w:val="52"/>
                              </w:rPr>
                            </w:pPr>
                            <w:r>
                              <w:rPr>
                                <w:rFonts w:ascii="Tahoma" w:hAnsi="Tahoma" w:cs="Tahoma"/>
                                <w:b/>
                                <w:bCs/>
                                <w:color w:val="0000FF"/>
                                <w:sz w:val="52"/>
                                <w:szCs w:val="52"/>
                              </w:rPr>
                              <w:t xml:space="preserve">Newsletter </w:t>
                            </w:r>
                          </w:p>
                          <w:p>
                            <w:pPr>
                              <w:autoSpaceDE w:val="0"/>
                              <w:autoSpaceDN w:val="0"/>
                              <w:adjustRightInd w:val="0"/>
                              <w:jc w:val="center"/>
                              <w:rPr>
                                <w:rFonts w:ascii="Tahoma" w:hAnsi="Tahoma" w:cs="Tahoma"/>
                                <w:b/>
                                <w:bCs/>
                                <w:color w:val="0000FF"/>
                                <w:sz w:val="44"/>
                                <w:szCs w:val="44"/>
                              </w:rPr>
                            </w:pPr>
                            <w:r>
                              <w:rPr>
                                <w:rFonts w:ascii="Tahoma" w:hAnsi="Tahoma" w:cs="Tahoma"/>
                                <w:b/>
                                <w:bCs/>
                                <w:color w:val="0000FF"/>
                                <w:sz w:val="44"/>
                                <w:szCs w:val="44"/>
                              </w:rPr>
                              <w:t xml:space="preserve">Quarterly Gross Domestic Product (QGDP) </w:t>
                            </w:r>
                          </w:p>
                          <w:p>
                            <w:pPr>
                              <w:autoSpaceDE w:val="0"/>
                              <w:autoSpaceDN w:val="0"/>
                              <w:adjustRightInd w:val="0"/>
                              <w:jc w:val="center"/>
                              <w:rPr>
                                <w:rFonts w:ascii="Tahoma" w:hAnsi="Tahoma" w:cs="Tahoma"/>
                                <w:b/>
                                <w:bCs/>
                                <w:color w:val="0000FF"/>
                                <w:sz w:val="44"/>
                                <w:szCs w:val="44"/>
                              </w:rPr>
                            </w:pPr>
                            <w:r>
                              <w:rPr>
                                <w:rFonts w:ascii="Tahoma" w:hAnsi="Tahoma" w:cs="Tahoma"/>
                                <w:b/>
                                <w:bCs/>
                                <w:color w:val="0000FF"/>
                                <w:sz w:val="44"/>
                                <w:szCs w:val="44"/>
                              </w:rPr>
                              <w:t>Third Quarter 2022</w:t>
                            </w:r>
                          </w:p>
                          <w:p>
                            <w:pPr>
                              <w:autoSpaceDE w:val="0"/>
                              <w:autoSpaceDN w:val="0"/>
                              <w:adjustRightInd w:val="0"/>
                              <w:rPr>
                                <w:rFonts w:ascii="Tahoma" w:hAnsi="Tahoma" w:cs="Tahoma"/>
                                <w:b/>
                                <w:bCs/>
                                <w:color w:val="0000FF"/>
                                <w:sz w:val="44"/>
                                <w:szCs w:val="44"/>
                              </w:rPr>
                            </w:pPr>
                            <w:r>
                              <w:rPr>
                                <w:rFonts w:ascii="Tahoma" w:hAnsi="Tahoma" w:cs="Tahoma"/>
                                <w:b/>
                                <w:bCs/>
                                <w:color w:val="0000FF"/>
                                <w:sz w:val="44"/>
                                <w:szCs w:val="44"/>
                              </w:rPr>
                              <w:t xml:space="preserve"> Quarter 2019</w:t>
                            </w:r>
                          </w:p>
                          <w:p>
                            <w:pPr>
                              <w:jc w:val="both"/>
                              <w:rPr>
                                <w:rFonts w:ascii="Arial" w:hAnsi="Arial" w:cs="Arial"/>
                                <w:color w:val="333399"/>
                                <w:sz w:val="54"/>
                                <w:szCs w:val="54"/>
                                <w:lang w:val="en-GB"/>
                              </w:rPr>
                            </w:pPr>
                          </w:p>
                        </w:txbxContent>
                      </wps:txbx>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88.5pt;margin-top:-17.2pt;height:127.5pt;width:321.6pt;z-index:251659264;mso-width-relative:page;mso-height-relative:page;" filled="f" stroked="t" coordsize="21600,21600" o:gfxdata="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VCd82QAAAAsBAAAPAAAAAAAAAAEAIAAAACIAAABkcnMvZG93bnJldi54bWxQ&#10;SwECFAAUAAAACACHTuJAGCXjbC8CAABWBAAADgAAAAAAAAABACAAAAAoAQAAZHJzL2Uyb0RvYy54&#10;bWxQSwUGAAAAAAYABgBZAQAAyQUAAAAA&#10;">
                <v:fill on="f" focussize="0,0"/>
                <v:stroke weight="4pt" color="#0000FF" miterlimit="8" joinstyle="miter"/>
                <v:imagedata o:title=""/>
                <o:lock v:ext="edit" aspectratio="f"/>
                <v:textbox>
                  <w:txbxContent>
                    <w:p>
                      <w:pPr>
                        <w:autoSpaceDE w:val="0"/>
                        <w:autoSpaceDN w:val="0"/>
                        <w:adjustRightInd w:val="0"/>
                        <w:jc w:val="center"/>
                        <w:rPr>
                          <w:rFonts w:ascii="Tahoma" w:hAnsi="Tahoma" w:cs="Tahoma"/>
                          <w:b/>
                          <w:bCs/>
                          <w:color w:val="0000FF"/>
                          <w:sz w:val="52"/>
                          <w:szCs w:val="52"/>
                        </w:rPr>
                      </w:pPr>
                      <w:r>
                        <w:rPr>
                          <w:rFonts w:ascii="Tahoma" w:hAnsi="Tahoma" w:cs="Tahoma"/>
                          <w:b/>
                          <w:bCs/>
                          <w:color w:val="0000FF"/>
                          <w:sz w:val="52"/>
                          <w:szCs w:val="52"/>
                        </w:rPr>
                        <w:t xml:space="preserve">Newsletter </w:t>
                      </w:r>
                    </w:p>
                    <w:p>
                      <w:pPr>
                        <w:autoSpaceDE w:val="0"/>
                        <w:autoSpaceDN w:val="0"/>
                        <w:adjustRightInd w:val="0"/>
                        <w:jc w:val="center"/>
                        <w:rPr>
                          <w:rFonts w:ascii="Tahoma" w:hAnsi="Tahoma" w:cs="Tahoma"/>
                          <w:b/>
                          <w:bCs/>
                          <w:color w:val="0000FF"/>
                          <w:sz w:val="44"/>
                          <w:szCs w:val="44"/>
                        </w:rPr>
                      </w:pPr>
                      <w:r>
                        <w:rPr>
                          <w:rFonts w:ascii="Tahoma" w:hAnsi="Tahoma" w:cs="Tahoma"/>
                          <w:b/>
                          <w:bCs/>
                          <w:color w:val="0000FF"/>
                          <w:sz w:val="44"/>
                          <w:szCs w:val="44"/>
                        </w:rPr>
                        <w:t xml:space="preserve">Quarterly Gross Domestic Product (QGDP) </w:t>
                      </w:r>
                    </w:p>
                    <w:p>
                      <w:pPr>
                        <w:autoSpaceDE w:val="0"/>
                        <w:autoSpaceDN w:val="0"/>
                        <w:adjustRightInd w:val="0"/>
                        <w:jc w:val="center"/>
                        <w:rPr>
                          <w:rFonts w:ascii="Tahoma" w:hAnsi="Tahoma" w:cs="Tahoma"/>
                          <w:b/>
                          <w:bCs/>
                          <w:color w:val="0000FF"/>
                          <w:sz w:val="44"/>
                          <w:szCs w:val="44"/>
                        </w:rPr>
                      </w:pPr>
                      <w:r>
                        <w:rPr>
                          <w:rFonts w:ascii="Tahoma" w:hAnsi="Tahoma" w:cs="Tahoma"/>
                          <w:b/>
                          <w:bCs/>
                          <w:color w:val="0000FF"/>
                          <w:sz w:val="44"/>
                          <w:szCs w:val="44"/>
                        </w:rPr>
                        <w:t>Third Quarter 2022</w:t>
                      </w:r>
                    </w:p>
                    <w:p>
                      <w:pPr>
                        <w:autoSpaceDE w:val="0"/>
                        <w:autoSpaceDN w:val="0"/>
                        <w:adjustRightInd w:val="0"/>
                        <w:rPr>
                          <w:rFonts w:ascii="Tahoma" w:hAnsi="Tahoma" w:cs="Tahoma"/>
                          <w:b/>
                          <w:bCs/>
                          <w:color w:val="0000FF"/>
                          <w:sz w:val="44"/>
                          <w:szCs w:val="44"/>
                        </w:rPr>
                      </w:pPr>
                      <w:r>
                        <w:rPr>
                          <w:rFonts w:ascii="Tahoma" w:hAnsi="Tahoma" w:cs="Tahoma"/>
                          <w:b/>
                          <w:bCs/>
                          <w:color w:val="0000FF"/>
                          <w:sz w:val="44"/>
                          <w:szCs w:val="44"/>
                        </w:rPr>
                        <w:t xml:space="preserve"> Quarter 2019</w:t>
                      </w:r>
                    </w:p>
                    <w:p>
                      <w:pPr>
                        <w:jc w:val="both"/>
                        <w:rPr>
                          <w:rFonts w:ascii="Arial" w:hAnsi="Arial" w:cs="Arial"/>
                          <w:color w:val="333399"/>
                          <w:sz w:val="54"/>
                          <w:szCs w:val="54"/>
                          <w:lang w:val="en-GB"/>
                        </w:rPr>
                      </w:pPr>
                    </w:p>
                  </w:txbxContent>
                </v:textbox>
              </v:rect>
            </w:pict>
          </mc:Fallback>
        </mc:AlternateContent>
      </w:r>
      <w:r>
        <w:rPr>
          <w:color w:val="00B050"/>
        </w:rPr>
        <w:drawing>
          <wp:anchor distT="0" distB="0" distL="114300" distR="114300" simplePos="0" relativeHeight="251660288" behindDoc="0" locked="0" layoutInCell="1" allowOverlap="1">
            <wp:simplePos x="0" y="0"/>
            <wp:positionH relativeFrom="column">
              <wp:posOffset>-210820</wp:posOffset>
            </wp:positionH>
            <wp:positionV relativeFrom="paragraph">
              <wp:posOffset>-37465</wp:posOffset>
            </wp:positionV>
            <wp:extent cx="1190625" cy="1181100"/>
            <wp:effectExtent l="0" t="0" r="0" b="0"/>
            <wp:wrapTopAndBottom/>
            <wp:docPr id="7" name="image4.png"/>
            <wp:cNvGraphicFramePr/>
            <a:graphic xmlns:a="http://schemas.openxmlformats.org/drawingml/2006/main">
              <a:graphicData uri="http://schemas.openxmlformats.org/drawingml/2006/picture">
                <pic:pic xmlns:pic="http://schemas.openxmlformats.org/drawingml/2006/picture">
                  <pic:nvPicPr>
                    <pic:cNvPr id="7" name="image4.png"/>
                    <pic:cNvPicPr preferRelativeResize="0"/>
                  </pic:nvPicPr>
                  <pic:blipFill>
                    <a:blip r:embed="rId6"/>
                    <a:srcRect/>
                    <a:stretch>
                      <a:fillRect/>
                    </a:stretch>
                  </pic:blipFill>
                  <pic:spPr>
                    <a:xfrm>
                      <a:off x="0" y="0"/>
                      <a:ext cx="1190625" cy="1181100"/>
                    </a:xfrm>
                    <a:prstGeom prst="rect">
                      <a:avLst/>
                    </a:prstGeom>
                  </pic:spPr>
                </pic:pic>
              </a:graphicData>
            </a:graphic>
          </wp:anchor>
        </w:drawing>
      </w:r>
      <w:r>
        <w:rPr>
          <w:color w:val="00B050"/>
        </w:rPr>
        <w:drawing>
          <wp:anchor distT="0" distB="0" distL="114300" distR="114300" simplePos="0" relativeHeight="251661312" behindDoc="0" locked="0" layoutInCell="1" allowOverlap="1">
            <wp:simplePos x="0" y="0"/>
            <wp:positionH relativeFrom="column">
              <wp:posOffset>5455920</wp:posOffset>
            </wp:positionH>
            <wp:positionV relativeFrom="paragraph">
              <wp:posOffset>-161290</wp:posOffset>
            </wp:positionV>
            <wp:extent cx="1025525" cy="1009650"/>
            <wp:effectExtent l="0" t="0" r="0" b="0"/>
            <wp:wrapNone/>
            <wp:docPr id="8" name="image5.png"/>
            <wp:cNvGraphicFramePr/>
            <a:graphic xmlns:a="http://schemas.openxmlformats.org/drawingml/2006/main">
              <a:graphicData uri="http://schemas.openxmlformats.org/drawingml/2006/picture">
                <pic:pic xmlns:pic="http://schemas.openxmlformats.org/drawingml/2006/picture">
                  <pic:nvPicPr>
                    <pic:cNvPr id="8" name="image5.png"/>
                    <pic:cNvPicPr preferRelativeResize="0"/>
                  </pic:nvPicPr>
                  <pic:blipFill>
                    <a:blip r:embed="rId7"/>
                    <a:srcRect/>
                    <a:stretch>
                      <a:fillRect/>
                    </a:stretch>
                  </pic:blipFill>
                  <pic:spPr>
                    <a:xfrm>
                      <a:off x="0" y="0"/>
                      <a:ext cx="1025525" cy="1009650"/>
                    </a:xfrm>
                    <a:prstGeom prst="rect">
                      <a:avLst/>
                    </a:prstGeom>
                  </pic:spPr>
                </pic:pic>
              </a:graphicData>
            </a:graphic>
          </wp:anchor>
        </w:drawing>
      </w:r>
      <w:r>
        <w:rPr>
          <w:color w:val="00B050"/>
        </w:rPr>
        <mc:AlternateContent>
          <mc:Choice Requires="wps">
            <w:drawing>
              <wp:anchor distT="0" distB="0" distL="114300" distR="114300" simplePos="0" relativeHeight="251662336" behindDoc="0" locked="0" layoutInCell="1" allowOverlap="1">
                <wp:simplePos x="0" y="0"/>
                <wp:positionH relativeFrom="column">
                  <wp:posOffset>5285105</wp:posOffset>
                </wp:positionH>
                <wp:positionV relativeFrom="paragraph">
                  <wp:posOffset>950595</wp:posOffset>
                </wp:positionV>
                <wp:extent cx="1409700" cy="723900"/>
                <wp:effectExtent l="0" t="0" r="19050" b="19050"/>
                <wp:wrapNone/>
                <wp:docPr id="2" name="Rectangle 2"/>
                <wp:cNvGraphicFramePr/>
                <a:graphic xmlns:a="http://schemas.openxmlformats.org/drawingml/2006/main">
                  <a:graphicData uri="http://schemas.microsoft.com/office/word/2010/wordprocessingShape">
                    <wps:wsp>
                      <wps:cNvSpPr>
                        <a:spLocks noChangeArrowheads="1"/>
                      </wps:cNvSpPr>
                      <wps:spPr bwMode="auto">
                        <a:xfrm>
                          <a:off x="0" y="0"/>
                          <a:ext cx="1409700" cy="724205"/>
                        </a:xfrm>
                        <a:prstGeom prst="rect">
                          <a:avLst/>
                        </a:prstGeom>
                        <a:solidFill>
                          <a:srgbClr val="FFFFFF">
                            <a:alpha val="50000"/>
                          </a:srgbClr>
                        </a:solidFill>
                        <a:ln w="9525">
                          <a:solidFill>
                            <a:srgbClr val="FFFFFF"/>
                          </a:solidFill>
                          <a:miter lim="800000"/>
                        </a:ln>
                      </wps:spPr>
                      <wps:txbx>
                        <w:txbxContent>
                          <w:p>
                            <w:pPr>
                              <w:jc w:val="center"/>
                              <w:rPr>
                                <w:rFonts w:ascii="Arial" w:hAnsi="Arial" w:cs="Arial"/>
                                <w:b/>
                                <w:bCs/>
                                <w:sz w:val="18"/>
                                <w:szCs w:val="18"/>
                              </w:rPr>
                            </w:pPr>
                            <w:r>
                              <w:rPr>
                                <w:rFonts w:ascii="Arial" w:hAnsi="Arial" w:cs="Arial"/>
                                <w:b/>
                                <w:bCs/>
                                <w:sz w:val="18"/>
                                <w:szCs w:val="18"/>
                              </w:rPr>
                              <w:t>Ghana Statistical Service (GSS)</w:t>
                            </w:r>
                          </w:p>
                          <w:p>
                            <w:pPr>
                              <w:jc w:val="center"/>
                              <w:rPr>
                                <w:rFonts w:ascii="Arial" w:hAnsi="Arial" w:cs="Arial"/>
                                <w:b/>
                                <w:i/>
                                <w:iCs/>
                                <w:sz w:val="16"/>
                                <w:szCs w:val="16"/>
                              </w:rPr>
                            </w:pPr>
                            <w:r>
                              <w:rPr>
                                <w:rFonts w:ascii="Arial" w:hAnsi="Arial" w:cs="Arial"/>
                                <w:b/>
                                <w:i/>
                                <w:iCs/>
                                <w:sz w:val="16"/>
                                <w:szCs w:val="16"/>
                              </w:rPr>
                              <w:t>P.O. Box GP 1098, Accra</w:t>
                            </w:r>
                          </w:p>
                          <w:p>
                            <w:pPr>
                              <w:jc w:val="center"/>
                              <w:rPr>
                                <w:rFonts w:ascii="Arial" w:hAnsi="Arial" w:cs="Arial"/>
                                <w:b/>
                                <w:i/>
                                <w:iCs/>
                                <w:sz w:val="16"/>
                                <w:szCs w:val="16"/>
                              </w:rPr>
                            </w:pPr>
                          </w:p>
                          <w:p>
                            <w:pPr>
                              <w:jc w:val="center"/>
                              <w:rPr>
                                <w:rFonts w:ascii="Arial" w:hAnsi="Arial" w:cs="Arial"/>
                                <w:b/>
                                <w:i/>
                                <w:iCs/>
                                <w:sz w:val="16"/>
                                <w:szCs w:val="16"/>
                              </w:rPr>
                            </w:pPr>
                            <w:r>
                              <w:rPr>
                                <w:rFonts w:ascii="Arial" w:hAnsi="Arial" w:cs="Arial"/>
                                <w:b/>
                                <w:i/>
                                <w:iCs/>
                                <w:sz w:val="16"/>
                                <w:szCs w:val="16"/>
                              </w:rPr>
                              <w:t>www.statsghana.gov.gh</w:t>
                            </w:r>
                          </w:p>
                          <w:p>
                            <w:pPr>
                              <w:jc w:val="center"/>
                              <w:rPr>
                                <w:rFonts w:ascii="Arial" w:hAnsi="Arial" w:cs="Arial"/>
                                <w:i/>
                                <w:iCs/>
                                <w:sz w:val="16"/>
                                <w:szCs w:val="16"/>
                              </w:rPr>
                            </w:pPr>
                          </w:p>
                        </w:txbxContent>
                      </wps:txbx>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416.15pt;margin-top:74.85pt;height:57pt;width:111pt;z-index:251662336;mso-width-relative:page;mso-height-relative:page;" fillcolor="#FFFFFF" filled="t" stroked="t" coordsize="21600,21600" o:gfxdata="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8ZdkTcAAAADAEAAA8AAAAAAAAAAQAgAAAAIgAA&#10;AGRycy9kb3ducmV2LnhtbFBLAQIUABQAAAAIAIdO4kAL8/ZkPQIAAJ4EAAAOAAAAAAAAAAEAIAAA&#10;ACsBAABkcnMvZTJvRG9jLnhtbFBLBQYAAAAABgAGAFkBAADaBQAAAAA=&#10;">
                <v:fill on="t" opacity="32768f" focussize="0,0"/>
                <v:stroke color="#FFFFFF" miterlimit="8" joinstyle="miter"/>
                <v:imagedata o:title=""/>
                <o:lock v:ext="edit" aspectratio="f"/>
                <v:textbox>
                  <w:txbxContent>
                    <w:p>
                      <w:pPr>
                        <w:jc w:val="center"/>
                        <w:rPr>
                          <w:rFonts w:ascii="Arial" w:hAnsi="Arial" w:cs="Arial"/>
                          <w:b/>
                          <w:bCs/>
                          <w:sz w:val="18"/>
                          <w:szCs w:val="18"/>
                        </w:rPr>
                      </w:pPr>
                      <w:r>
                        <w:rPr>
                          <w:rFonts w:ascii="Arial" w:hAnsi="Arial" w:cs="Arial"/>
                          <w:b/>
                          <w:bCs/>
                          <w:sz w:val="18"/>
                          <w:szCs w:val="18"/>
                        </w:rPr>
                        <w:t>Ghana Statistical Service (GSS)</w:t>
                      </w:r>
                    </w:p>
                    <w:p>
                      <w:pPr>
                        <w:jc w:val="center"/>
                        <w:rPr>
                          <w:rFonts w:ascii="Arial" w:hAnsi="Arial" w:cs="Arial"/>
                          <w:b/>
                          <w:i/>
                          <w:iCs/>
                          <w:sz w:val="16"/>
                          <w:szCs w:val="16"/>
                        </w:rPr>
                      </w:pPr>
                      <w:r>
                        <w:rPr>
                          <w:rFonts w:ascii="Arial" w:hAnsi="Arial" w:cs="Arial"/>
                          <w:b/>
                          <w:i/>
                          <w:iCs/>
                          <w:sz w:val="16"/>
                          <w:szCs w:val="16"/>
                        </w:rPr>
                        <w:t>P.O. Box GP 1098, Accra</w:t>
                      </w:r>
                    </w:p>
                    <w:p>
                      <w:pPr>
                        <w:jc w:val="center"/>
                        <w:rPr>
                          <w:rFonts w:ascii="Arial" w:hAnsi="Arial" w:cs="Arial"/>
                          <w:b/>
                          <w:i/>
                          <w:iCs/>
                          <w:sz w:val="16"/>
                          <w:szCs w:val="16"/>
                        </w:rPr>
                      </w:pPr>
                    </w:p>
                    <w:p>
                      <w:pPr>
                        <w:jc w:val="center"/>
                        <w:rPr>
                          <w:rFonts w:ascii="Arial" w:hAnsi="Arial" w:cs="Arial"/>
                          <w:b/>
                          <w:i/>
                          <w:iCs/>
                          <w:sz w:val="16"/>
                          <w:szCs w:val="16"/>
                        </w:rPr>
                      </w:pPr>
                      <w:r>
                        <w:rPr>
                          <w:rFonts w:ascii="Arial" w:hAnsi="Arial" w:cs="Arial"/>
                          <w:b/>
                          <w:i/>
                          <w:iCs/>
                          <w:sz w:val="16"/>
                          <w:szCs w:val="16"/>
                        </w:rPr>
                        <w:t>www.statsghana.gov.gh</w:t>
                      </w:r>
                    </w:p>
                    <w:p>
                      <w:pPr>
                        <w:jc w:val="center"/>
                        <w:rPr>
                          <w:rFonts w:ascii="Arial" w:hAnsi="Arial" w:cs="Arial"/>
                          <w:i/>
                          <w:iCs/>
                          <w:sz w:val="16"/>
                          <w:szCs w:val="16"/>
                        </w:rPr>
                      </w:pPr>
                    </w:p>
                  </w:txbxContent>
                </v:textbox>
              </v:rect>
            </w:pict>
          </mc:Fallback>
        </mc:AlternateContent>
      </w:r>
    </w:p>
    <w:p>
      <w:pPr>
        <w:jc w:val="both"/>
        <w:rPr>
          <w:rFonts w:ascii="Bookman Old Style" w:hAnsi="Bookman Old Style" w:eastAsia="Bookman Old Style" w:cs="Bookman Old Style"/>
          <w:b/>
          <w:color w:val="00B050"/>
          <w:sz w:val="20"/>
          <w:szCs w:val="20"/>
        </w:rPr>
      </w:pPr>
    </w:p>
    <w:p>
      <w:pPr>
        <w:jc w:val="both"/>
        <w:rPr>
          <w:rFonts w:ascii="Bookman Old Style" w:hAnsi="Bookman Old Style" w:eastAsia="Bookman Old Style" w:cs="Bookman Old Style"/>
          <w:b/>
          <w:color w:val="00B050"/>
          <w:sz w:val="20"/>
          <w:szCs w:val="20"/>
        </w:rPr>
      </w:pPr>
    </w:p>
    <w:p>
      <w:pPr>
        <w:jc w:val="both"/>
        <w:rPr>
          <w:rFonts w:ascii="Bookman Old Style" w:hAnsi="Bookman Old Style" w:eastAsia="Bookman Old Style" w:cs="Bookman Old Style"/>
          <w:b/>
          <w:color w:val="00B050"/>
          <w:sz w:val="20"/>
          <w:szCs w:val="20"/>
        </w:rPr>
      </w:pPr>
    </w:p>
    <w:p>
      <w:pPr>
        <w:ind w:right="-424"/>
        <w:jc w:val="both"/>
        <w:rPr>
          <w:rFonts w:ascii="Bookman Old Style" w:hAnsi="Bookman Old Style" w:eastAsia="Bookman Old Style" w:cs="Bookman Old Style"/>
          <w:b/>
          <w:sz w:val="18"/>
          <w:szCs w:val="20"/>
        </w:rPr>
      </w:pPr>
      <w:r>
        <w:rPr>
          <w:rFonts w:ascii="Bookman Old Style" w:hAnsi="Bookman Old Style" w:eastAsia="Bookman Old Style" w:cs="Bookman Old Style"/>
          <w:b/>
          <w:sz w:val="18"/>
          <w:szCs w:val="20"/>
        </w:rPr>
        <w:t xml:space="preserve"> Tel: +233-244-760080, +233-242-218079                    </w:t>
      </w:r>
      <w:r>
        <w:rPr>
          <w:rFonts w:ascii="Bookman Old Style" w:hAnsi="Bookman Old Style" w:eastAsia="Bookman Old Style" w:cs="Bookman Old Style"/>
          <w:b/>
          <w:sz w:val="18"/>
          <w:szCs w:val="20"/>
        </w:rPr>
        <w:tab/>
      </w:r>
      <w:r>
        <w:rPr>
          <w:rFonts w:ascii="Bookman Old Style" w:hAnsi="Bookman Old Style" w:eastAsia="Bookman Old Style" w:cs="Bookman Old Style"/>
          <w:b/>
          <w:sz w:val="18"/>
          <w:szCs w:val="20"/>
        </w:rPr>
        <w:tab/>
      </w:r>
      <w:r>
        <w:rPr>
          <w:rFonts w:ascii="Bookman Old Style" w:hAnsi="Bookman Old Style" w:eastAsia="Bookman Old Style" w:cs="Bookman Old Style"/>
          <w:b/>
          <w:sz w:val="18"/>
          <w:szCs w:val="20"/>
        </w:rPr>
        <w:t xml:space="preserve">                                 Dec. 21, 2022</w:t>
      </w:r>
    </w:p>
    <w:p>
      <w:pPr>
        <w:ind w:right="-424"/>
        <w:jc w:val="both"/>
        <w:rPr>
          <w:rFonts w:ascii="Bookman Old Style" w:hAnsi="Bookman Old Style" w:eastAsia="Bookman Old Style" w:cs="Bookman Old Style"/>
          <w:b/>
          <w:sz w:val="20"/>
          <w:szCs w:val="20"/>
        </w:rPr>
      </w:pPr>
      <w: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99060</wp:posOffset>
                </wp:positionV>
                <wp:extent cx="6696075" cy="0"/>
                <wp:effectExtent l="0" t="19050" r="9525" b="19050"/>
                <wp:wrapNone/>
                <wp:docPr id="1" name="Straight Connector 1"/>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38100">
                          <a:solidFill>
                            <a:srgbClr val="000000"/>
                          </a:solidFill>
                          <a:round/>
                        </a:ln>
                      </wps:spPr>
                      <wps:bodyPr/>
                    </wps:wsp>
                  </a:graphicData>
                </a:graphic>
              </wp:anchor>
            </w:drawing>
          </mc:Choice>
          <mc:Fallback>
            <w:pict>
              <v:line id="_x0000_s1026" o:spid="_x0000_s1026" o:spt="20" style="position:absolute;left:0pt;margin-left:0pt;margin-top:7.8pt;height:0pt;width:527.25pt;z-index:251663360;mso-width-relative:page;mso-height-relative:page;" filled="f" stroked="t" coordsize="21600,21600" o:gfxdata="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Hr4dPRAAAABwEAAA8AAAAAAAAAAQAgAAAAIgAAAGRy&#10;cy9kb3ducmV2LnhtbFBLAQIUABQAAAAIAIdO4kAmP/ZN0wEAAK4DAAAOAAAAAAAAAAEAIAAAACAB&#10;AABkcnMvZTJvRG9jLnhtbFBLBQYAAAAABgAGAFkBAABlBQAAAAA=&#10;">
                <v:fill on="f" focussize="0,0"/>
                <v:stroke weight="3pt" color="#000000" joinstyle="round"/>
                <v:imagedata o:title=""/>
                <o:lock v:ext="edit" aspectratio="f"/>
              </v:line>
            </w:pict>
          </mc:Fallback>
        </mc:AlternateContent>
      </w:r>
    </w:p>
    <w:p>
      <w:pPr>
        <w:jc w:val="both"/>
        <w:rPr>
          <w:rFonts w:ascii="Bookman Old Style" w:hAnsi="Bookman Old Style" w:eastAsia="Bookman Old Style" w:cs="Bookman Old Style"/>
          <w:b/>
        </w:rPr>
      </w:pPr>
    </w:p>
    <w:p>
      <w:pPr>
        <w:jc w:val="both"/>
        <w:rPr>
          <w:rFonts w:ascii="Bookman Old Style" w:hAnsi="Bookman Old Style" w:eastAsia="Bookman Old Style" w:cs="Bookman Old Style"/>
          <w:b/>
        </w:rPr>
      </w:pPr>
    </w:p>
    <w:p>
      <w:pPr>
        <w:jc w:val="both"/>
        <w:rPr>
          <w:rFonts w:ascii="Bookman Old Style" w:hAnsi="Bookman Old Style" w:eastAsia="Bookman Old Style" w:cs="Bookman Old Style"/>
          <w:b/>
        </w:rPr>
      </w:pPr>
      <w:r>
        <w:rPr>
          <w:rFonts w:ascii="Bookman Old Style" w:hAnsi="Bookman Old Style" w:eastAsia="Bookman Old Style" w:cs="Bookman Old Style"/>
          <w:b/>
        </w:rPr>
        <w:t>Contents</w:t>
      </w:r>
    </w:p>
    <w:p>
      <w:pPr>
        <w:jc w:val="both"/>
        <w:rPr>
          <w:rFonts w:ascii="Bookman Old Style" w:hAnsi="Bookman Old Style" w:eastAsia="Bookman Old Style" w:cs="Bookman Old Style"/>
          <w:b/>
        </w:rPr>
      </w:pPr>
    </w:p>
    <w:p>
      <w:pPr>
        <w:spacing w:line="480" w:lineRule="auto"/>
        <w:jc w:val="both"/>
        <w:rPr>
          <w:rFonts w:ascii="Bookman Old Style" w:hAnsi="Bookman Old Style" w:eastAsia="Bookman Old Style" w:cs="Bookman Old Style"/>
          <w:sz w:val="22"/>
          <w:szCs w:val="22"/>
        </w:rPr>
      </w:pPr>
      <w:r>
        <w:rPr>
          <w:rFonts w:ascii="Bookman Old Style" w:hAnsi="Bookman Old Style" w:eastAsia="Bookman Old Style" w:cs="Bookman Old Style"/>
          <w:sz w:val="22"/>
          <w:szCs w:val="22"/>
        </w:rPr>
        <w:t>1. Main points</w:t>
      </w:r>
    </w:p>
    <w:p>
      <w:pPr>
        <w:spacing w:line="480" w:lineRule="auto"/>
        <w:jc w:val="both"/>
        <w:rPr>
          <w:rFonts w:ascii="Bookman Old Style" w:hAnsi="Bookman Old Style" w:eastAsia="Bookman Old Style" w:cs="Bookman Old Style"/>
          <w:sz w:val="22"/>
          <w:szCs w:val="22"/>
        </w:rPr>
      </w:pPr>
      <w:r>
        <w:rPr>
          <w:rFonts w:ascii="Bookman Old Style" w:hAnsi="Bookman Old Style" w:eastAsia="Bookman Old Style" w:cs="Bookman Old Style"/>
          <w:sz w:val="22"/>
          <w:szCs w:val="22"/>
        </w:rPr>
        <w:t>2. Things you need to note about this release</w:t>
      </w:r>
    </w:p>
    <w:p>
      <w:pPr>
        <w:spacing w:line="480" w:lineRule="auto"/>
        <w:jc w:val="both"/>
        <w:rPr>
          <w:rFonts w:ascii="Bookman Old Style" w:hAnsi="Bookman Old Style" w:eastAsia="Bookman Old Style" w:cs="Bookman Old Style"/>
          <w:sz w:val="22"/>
          <w:szCs w:val="22"/>
        </w:rPr>
      </w:pPr>
      <w:r>
        <w:rPr>
          <w:rFonts w:ascii="Bookman Old Style" w:hAnsi="Bookman Old Style" w:eastAsia="Bookman Old Style" w:cs="Bookman Old Style"/>
          <w:sz w:val="22"/>
          <w:szCs w:val="22"/>
        </w:rPr>
        <w:t>3. Quarterly real GDP growth: July to September 2022</w:t>
      </w:r>
    </w:p>
    <w:p>
      <w:pPr>
        <w:spacing w:line="480" w:lineRule="auto"/>
        <w:jc w:val="both"/>
        <w:rPr>
          <w:rFonts w:ascii="Bookman Old Style" w:hAnsi="Bookman Old Style" w:eastAsia="Bookman Old Style" w:cs="Bookman Old Style"/>
          <w:sz w:val="22"/>
          <w:szCs w:val="22"/>
        </w:rPr>
      </w:pPr>
      <w:r>
        <w:rPr>
          <w:rFonts w:ascii="Bookman Old Style" w:hAnsi="Bookman Old Style" w:eastAsia="Bookman Old Style" w:cs="Bookman Old Style"/>
          <w:sz w:val="22"/>
          <w:szCs w:val="22"/>
        </w:rPr>
        <w:t>4.  Real quarterly gross domestic product: July to September 2022</w:t>
      </w:r>
    </w:p>
    <w:p>
      <w:pPr>
        <w:spacing w:line="480" w:lineRule="auto"/>
        <w:jc w:val="both"/>
        <w:rPr>
          <w:rFonts w:ascii="Bookman Old Style" w:hAnsi="Bookman Old Style" w:eastAsia="Bookman Old Style" w:cs="Bookman Old Style"/>
          <w:sz w:val="22"/>
          <w:szCs w:val="22"/>
        </w:rPr>
      </w:pPr>
      <w:r>
        <w:rPr>
          <w:rFonts w:ascii="Bookman Old Style" w:hAnsi="Bookman Old Style" w:eastAsia="Bookman Old Style" w:cs="Bookman Old Style"/>
          <w:sz w:val="22"/>
          <w:szCs w:val="22"/>
        </w:rPr>
        <w:t>5. Nominal quarterly gross domestic product: July to September 2022</w:t>
      </w:r>
    </w:p>
    <w:p>
      <w:pPr>
        <w:spacing w:line="480" w:lineRule="auto"/>
        <w:jc w:val="both"/>
        <w:rPr>
          <w:rFonts w:ascii="Bookman Old Style" w:hAnsi="Bookman Old Style" w:eastAsia="Bookman Old Style" w:cs="Bookman Old Style"/>
          <w:sz w:val="22"/>
          <w:szCs w:val="22"/>
        </w:rPr>
      </w:pPr>
      <w:r>
        <w:rPr>
          <w:rFonts w:ascii="Bookman Old Style" w:hAnsi="Bookman Old Style" w:eastAsia="Bookman Old Style" w:cs="Bookman Old Style"/>
          <w:sz w:val="22"/>
          <w:szCs w:val="22"/>
        </w:rPr>
        <w:t>6. Sectoral shares of third quarter 2022 GDP</w:t>
      </w:r>
    </w:p>
    <w:p>
      <w:pPr>
        <w:spacing w:line="480" w:lineRule="auto"/>
        <w:jc w:val="both"/>
        <w:rPr>
          <w:rFonts w:ascii="Bookman Old Style" w:hAnsi="Bookman Old Style" w:eastAsia="Bookman Old Style" w:cs="Bookman Old Style"/>
          <w:sz w:val="22"/>
          <w:szCs w:val="22"/>
        </w:rPr>
      </w:pPr>
      <w:r>
        <w:rPr>
          <w:rFonts w:ascii="Bookman Old Style" w:hAnsi="Bookman Old Style" w:eastAsia="Bookman Old Style" w:cs="Bookman Old Style"/>
          <w:sz w:val="22"/>
          <w:szCs w:val="22"/>
        </w:rPr>
        <w:t>7. Seasonally Adjusted GDP</w:t>
      </w:r>
    </w:p>
    <w:p>
      <w:pPr>
        <w:spacing w:line="276" w:lineRule="auto"/>
        <w:jc w:val="both"/>
        <w:rPr>
          <w:rFonts w:ascii="Bookman Old Style" w:hAnsi="Bookman Old Style" w:eastAsia="Bookman Old Style" w:cs="Bookman Old Style"/>
          <w:sz w:val="22"/>
          <w:szCs w:val="22"/>
        </w:rPr>
      </w:pPr>
      <w:r>
        <w:rPr>
          <w:rFonts w:ascii="Bookman Old Style" w:hAnsi="Bookman Old Style" w:eastAsia="Bookman Old Style" w:cs="Bookman Old Style"/>
          <w:sz w:val="22"/>
          <w:szCs w:val="22"/>
        </w:rPr>
        <w:t xml:space="preserve">8. Appendix 1- Quarterly gross domestic product at current prices by economic activity and </w:t>
      </w:r>
    </w:p>
    <w:p>
      <w:pPr>
        <w:spacing w:line="276" w:lineRule="auto"/>
        <w:jc w:val="both"/>
        <w:rPr>
          <w:rFonts w:ascii="Bookman Old Style" w:hAnsi="Bookman Old Style" w:eastAsia="Bookman Old Style" w:cs="Bookman Old Style"/>
          <w:sz w:val="22"/>
          <w:szCs w:val="22"/>
        </w:rPr>
      </w:pPr>
      <w:r>
        <w:rPr>
          <w:rFonts w:ascii="Bookman Old Style" w:hAnsi="Bookman Old Style" w:eastAsia="Bookman Old Style" w:cs="Bookman Old Style"/>
          <w:sz w:val="22"/>
          <w:szCs w:val="22"/>
        </w:rPr>
        <w:t xml:space="preserve">    respective sectoral distribution</w:t>
      </w:r>
    </w:p>
    <w:p>
      <w:pPr>
        <w:jc w:val="both"/>
        <w:rPr>
          <w:rFonts w:ascii="Bookman Old Style" w:hAnsi="Bookman Old Style" w:eastAsia="Bookman Old Style" w:cs="Bookman Old Style"/>
          <w:sz w:val="22"/>
          <w:szCs w:val="22"/>
        </w:rPr>
      </w:pPr>
    </w:p>
    <w:p>
      <w:pPr>
        <w:spacing w:line="276" w:lineRule="auto"/>
        <w:jc w:val="both"/>
        <w:rPr>
          <w:rFonts w:ascii="Bookman Old Style" w:hAnsi="Bookman Old Style" w:eastAsia="Bookman Old Style" w:cs="Bookman Old Style"/>
          <w:sz w:val="22"/>
          <w:szCs w:val="22"/>
        </w:rPr>
      </w:pPr>
      <w:r>
        <w:rPr>
          <w:rFonts w:ascii="Bookman Old Style" w:hAnsi="Bookman Old Style" w:eastAsia="Bookman Old Style" w:cs="Bookman Old Style"/>
          <w:sz w:val="22"/>
          <w:szCs w:val="22"/>
        </w:rPr>
        <w:t xml:space="preserve">9. Appendix 2- Quarterly value added and GDP at constant 2013 prices by economic </w:t>
      </w:r>
    </w:p>
    <w:p>
      <w:pPr>
        <w:spacing w:line="276" w:lineRule="auto"/>
        <w:jc w:val="both"/>
        <w:rPr>
          <w:rFonts w:ascii="Bookman Old Style" w:hAnsi="Bookman Old Style" w:eastAsia="Bookman Old Style" w:cs="Bookman Old Style"/>
          <w:sz w:val="22"/>
          <w:szCs w:val="22"/>
        </w:rPr>
      </w:pPr>
      <w:r>
        <w:rPr>
          <w:rFonts w:ascii="Bookman Old Style" w:hAnsi="Bookman Old Style" w:eastAsia="Bookman Old Style" w:cs="Bookman Old Style"/>
          <w:sz w:val="22"/>
          <w:szCs w:val="22"/>
        </w:rPr>
        <w:t xml:space="preserve">    Activity</w:t>
      </w:r>
    </w:p>
    <w:p>
      <w:pPr>
        <w:jc w:val="both"/>
        <w:rPr>
          <w:rFonts w:ascii="Bookman Old Style" w:hAnsi="Bookman Old Style" w:eastAsia="Bookman Old Style" w:cs="Bookman Old Style"/>
          <w:sz w:val="22"/>
          <w:szCs w:val="22"/>
        </w:rPr>
      </w:pPr>
    </w:p>
    <w:p>
      <w:pPr>
        <w:spacing w:line="276" w:lineRule="auto"/>
        <w:jc w:val="both"/>
        <w:rPr>
          <w:rFonts w:ascii="Bookman Old Style" w:hAnsi="Bookman Old Style" w:eastAsia="Bookman Old Style" w:cs="Bookman Old Style"/>
          <w:sz w:val="22"/>
          <w:szCs w:val="22"/>
        </w:rPr>
      </w:pPr>
      <w:r>
        <w:rPr>
          <w:rFonts w:ascii="Bookman Old Style" w:hAnsi="Bookman Old Style" w:eastAsia="Bookman Old Style" w:cs="Bookman Old Style"/>
          <w:sz w:val="22"/>
          <w:szCs w:val="22"/>
        </w:rPr>
        <w:t xml:space="preserve">10. Appendix 3 - Seasonally adjusted quarterly value added and Gross Domestic Product </w:t>
      </w:r>
    </w:p>
    <w:p>
      <w:pPr>
        <w:spacing w:line="276" w:lineRule="auto"/>
        <w:jc w:val="both"/>
        <w:rPr>
          <w:rFonts w:ascii="Bookman Old Style" w:hAnsi="Bookman Old Style" w:eastAsia="Bookman Old Style" w:cs="Bookman Old Style"/>
          <w:sz w:val="22"/>
          <w:szCs w:val="22"/>
        </w:rPr>
      </w:pPr>
      <w:r>
        <w:rPr>
          <w:rFonts w:ascii="Bookman Old Style" w:hAnsi="Bookman Old Style" w:eastAsia="Bookman Old Style" w:cs="Bookman Old Style"/>
          <w:sz w:val="22"/>
          <w:szCs w:val="22"/>
        </w:rPr>
        <w:t xml:space="preserve">     at Constant 2013 prices by economic activity</w:t>
      </w:r>
    </w:p>
    <w:p>
      <w:pPr>
        <w:tabs>
          <w:tab w:val="left" w:pos="3000"/>
        </w:tabs>
        <w:spacing w:line="480" w:lineRule="auto"/>
        <w:jc w:val="both"/>
        <w:rPr>
          <w:rFonts w:ascii="Bookman Old Style" w:hAnsi="Bookman Old Style" w:eastAsia="Bookman Old Style" w:cs="Bookman Old Style"/>
          <w:b/>
          <w:sz w:val="22"/>
          <w:szCs w:val="22"/>
        </w:rPr>
      </w:pPr>
      <w:r>
        <w:rPr>
          <w:rFonts w:ascii="Bookman Old Style" w:hAnsi="Bookman Old Style" w:eastAsia="Bookman Old Style" w:cs="Bookman Old Style"/>
          <w:b/>
          <w:sz w:val="22"/>
          <w:szCs w:val="22"/>
        </w:rPr>
        <w:tab/>
      </w:r>
    </w:p>
    <w:p>
      <w:pPr>
        <w:tabs>
          <w:tab w:val="left" w:pos="3000"/>
        </w:tabs>
        <w:jc w:val="both"/>
        <w:rPr>
          <w:rFonts w:ascii="Bookman Old Style" w:hAnsi="Bookman Old Style" w:eastAsia="Bookman Old Style" w:cs="Bookman Old Style"/>
          <w:b/>
        </w:rPr>
      </w:pPr>
    </w:p>
    <w:p>
      <w:pPr>
        <w:tabs>
          <w:tab w:val="left" w:pos="3000"/>
        </w:tabs>
        <w:jc w:val="both"/>
        <w:rPr>
          <w:rFonts w:ascii="Bookman Old Style" w:hAnsi="Bookman Old Style" w:eastAsia="Bookman Old Style" w:cs="Bookman Old Style"/>
          <w:b/>
        </w:rPr>
      </w:pPr>
    </w:p>
    <w:p>
      <w:pPr>
        <w:tabs>
          <w:tab w:val="left" w:pos="3000"/>
        </w:tabs>
        <w:jc w:val="both"/>
        <w:rPr>
          <w:rFonts w:ascii="Bookman Old Style" w:hAnsi="Bookman Old Style" w:eastAsia="Bookman Old Style" w:cs="Bookman Old Style"/>
          <w:b/>
        </w:rPr>
      </w:pPr>
    </w:p>
    <w:p>
      <w:pPr>
        <w:tabs>
          <w:tab w:val="left" w:pos="3000"/>
        </w:tabs>
        <w:jc w:val="both"/>
        <w:rPr>
          <w:rFonts w:ascii="Bookman Old Style" w:hAnsi="Bookman Old Style" w:eastAsia="Bookman Old Style" w:cs="Bookman Old Style"/>
          <w:b/>
        </w:rPr>
      </w:pPr>
    </w:p>
    <w:p>
      <w:pPr>
        <w:tabs>
          <w:tab w:val="left" w:pos="3000"/>
        </w:tabs>
        <w:jc w:val="both"/>
        <w:rPr>
          <w:rFonts w:ascii="Bookman Old Style" w:hAnsi="Bookman Old Style" w:eastAsia="Bookman Old Style" w:cs="Bookman Old Style"/>
          <w:b/>
        </w:rPr>
      </w:pPr>
    </w:p>
    <w:p>
      <w:pPr>
        <w:tabs>
          <w:tab w:val="left" w:pos="3000"/>
        </w:tabs>
        <w:jc w:val="both"/>
        <w:rPr>
          <w:rFonts w:ascii="Bookman Old Style" w:hAnsi="Bookman Old Style" w:eastAsia="Bookman Old Style" w:cs="Bookman Old Style"/>
          <w:b/>
        </w:rPr>
      </w:pPr>
    </w:p>
    <w:p>
      <w:pPr>
        <w:tabs>
          <w:tab w:val="left" w:pos="3000"/>
        </w:tabs>
        <w:jc w:val="both"/>
        <w:rPr>
          <w:rFonts w:ascii="Bookman Old Style" w:hAnsi="Bookman Old Style" w:eastAsia="Bookman Old Style" w:cs="Bookman Old Style"/>
          <w:b/>
        </w:rPr>
      </w:pPr>
    </w:p>
    <w:p>
      <w:pPr>
        <w:tabs>
          <w:tab w:val="left" w:pos="3000"/>
        </w:tabs>
        <w:jc w:val="both"/>
        <w:rPr>
          <w:rFonts w:ascii="Bookman Old Style" w:hAnsi="Bookman Old Style" w:eastAsia="Bookman Old Style" w:cs="Bookman Old Style"/>
          <w:b/>
        </w:rPr>
      </w:pPr>
    </w:p>
    <w:p>
      <w:pPr>
        <w:tabs>
          <w:tab w:val="left" w:pos="3000"/>
        </w:tabs>
        <w:jc w:val="both"/>
        <w:rPr>
          <w:rFonts w:ascii="Bookman Old Style" w:hAnsi="Bookman Old Style" w:eastAsia="Bookman Old Style" w:cs="Bookman Old Style"/>
          <w:b/>
        </w:rPr>
      </w:pPr>
    </w:p>
    <w:p>
      <w:pPr>
        <w:tabs>
          <w:tab w:val="left" w:pos="3000"/>
        </w:tabs>
        <w:jc w:val="both"/>
        <w:rPr>
          <w:rFonts w:ascii="Bookman Old Style" w:hAnsi="Bookman Old Style" w:eastAsia="Bookman Old Style" w:cs="Bookman Old Style"/>
          <w:b/>
        </w:rPr>
      </w:pPr>
    </w:p>
    <w:p>
      <w:pPr>
        <w:tabs>
          <w:tab w:val="left" w:pos="3000"/>
        </w:tabs>
        <w:jc w:val="both"/>
        <w:rPr>
          <w:rFonts w:ascii="Bookman Old Style" w:hAnsi="Bookman Old Style" w:eastAsia="Bookman Old Style" w:cs="Bookman Old Style"/>
          <w:b/>
        </w:rPr>
      </w:pPr>
    </w:p>
    <w:p>
      <w:pPr>
        <w:tabs>
          <w:tab w:val="left" w:pos="3000"/>
        </w:tabs>
        <w:jc w:val="both"/>
        <w:rPr>
          <w:rFonts w:ascii="Bookman Old Style" w:hAnsi="Bookman Old Style" w:eastAsia="Bookman Old Style" w:cs="Bookman Old Style"/>
          <w:b/>
        </w:rPr>
      </w:pPr>
    </w:p>
    <w:p>
      <w:pPr>
        <w:tabs>
          <w:tab w:val="left" w:pos="3000"/>
        </w:tabs>
        <w:jc w:val="both"/>
        <w:rPr>
          <w:rFonts w:ascii="Bookman Old Style" w:hAnsi="Bookman Old Style" w:eastAsia="Bookman Old Style" w:cs="Bookman Old Style"/>
          <w:b/>
        </w:rPr>
      </w:pPr>
    </w:p>
    <w:p>
      <w:pPr>
        <w:jc w:val="both"/>
        <w:rPr>
          <w:rFonts w:ascii="Bookman Old Style" w:hAnsi="Bookman Old Style" w:eastAsia="Bookman Old Style" w:cs="Bookman Old Style"/>
          <w:b/>
        </w:rPr>
      </w:pPr>
      <w:r>
        <w:rPr>
          <w:rFonts w:ascii="Bookman Old Style" w:hAnsi="Bookman Old Style" w:eastAsia="Bookman Old Style" w:cs="Bookman Old Style"/>
          <w:b/>
        </w:rPr>
        <w:t>Main points</w:t>
      </w:r>
    </w:p>
    <w:p>
      <w:pPr>
        <w:jc w:val="both"/>
        <w:rPr>
          <w:rFonts w:ascii="Bookman Old Style" w:hAnsi="Bookman Old Style" w:eastAsia="Bookman Old Style" w:cs="Bookman Old Style"/>
          <w:b/>
        </w:rPr>
      </w:pPr>
    </w:p>
    <w:p>
      <w:pPr>
        <w:numPr>
          <w:ilvl w:val="0"/>
          <w:numId w:val="1"/>
        </w:numPr>
        <w:spacing w:line="276" w:lineRule="auto"/>
        <w:jc w:val="both"/>
        <w:rPr>
          <w:rFonts w:ascii="Bookman Old Style" w:hAnsi="Bookman Old Style" w:eastAsia="Bookman Old Style" w:cs="Bookman Old Style"/>
        </w:rPr>
      </w:pPr>
      <w:r>
        <w:rPr>
          <w:rFonts w:ascii="Bookman Old Style" w:hAnsi="Bookman Old Style" w:eastAsia="Bookman Old Style" w:cs="Bookman Old Style"/>
        </w:rPr>
        <w:t>Ghana provisional real Gross Domestic Product (GDP) in volume terms was estimated to have increased by 2.9% in quarter three (July to September) of 2022 compared to the same period in 2021.</w:t>
      </w:r>
    </w:p>
    <w:p>
      <w:pPr>
        <w:ind w:left="360"/>
        <w:jc w:val="both"/>
        <w:rPr>
          <w:rFonts w:ascii="Bookman Old Style" w:hAnsi="Bookman Old Style" w:eastAsia="Bookman Old Style" w:cs="Bookman Old Style"/>
        </w:rPr>
      </w:pPr>
    </w:p>
    <w:p>
      <w:pPr>
        <w:numPr>
          <w:ilvl w:val="0"/>
          <w:numId w:val="1"/>
        </w:numPr>
        <w:spacing w:line="276" w:lineRule="auto"/>
        <w:jc w:val="both"/>
        <w:rPr>
          <w:rFonts w:ascii="Bookman Old Style" w:hAnsi="Bookman Old Style" w:eastAsia="Bookman Old Style" w:cs="Bookman Old Style"/>
        </w:rPr>
      </w:pPr>
      <w:r>
        <w:rPr>
          <w:rFonts w:ascii="Bookman Old Style" w:hAnsi="Bookman Old Style" w:eastAsia="Bookman Old Style" w:cs="Bookman Old Style"/>
        </w:rPr>
        <w:t>When seasonally adjusted, Ghana real GDP increased by 0.7% in quarter three (July to September) of 2022; 0.3 percentage points lower than what was recorded in quarter two (April to June) of 2022.</w:t>
      </w:r>
    </w:p>
    <w:p>
      <w:pPr>
        <w:pStyle w:val="23"/>
        <w:rPr>
          <w:rFonts w:ascii="Bookman Old Style" w:hAnsi="Bookman Old Style" w:eastAsia="Bookman Old Style" w:cs="Bookman Old Style"/>
        </w:rPr>
      </w:pPr>
    </w:p>
    <w:p>
      <w:pPr>
        <w:numPr>
          <w:ilvl w:val="0"/>
          <w:numId w:val="1"/>
        </w:numPr>
        <w:spacing w:line="276" w:lineRule="auto"/>
        <w:jc w:val="both"/>
        <w:rPr>
          <w:rFonts w:ascii="Bookman Old Style" w:hAnsi="Bookman Old Style" w:eastAsia="Bookman Old Style" w:cs="Bookman Old Style"/>
        </w:rPr>
      </w:pPr>
      <w:r>
        <w:rPr>
          <w:rFonts w:ascii="Bookman Old Style" w:hAnsi="Bookman Old Style" w:eastAsia="Bookman Old Style" w:cs="Bookman Old Style"/>
        </w:rPr>
        <w:t xml:space="preserve">The Mining &amp; Quarrying, Information &amp; Communication, Education, Crops, and Fishing sub-sectors were the main drivers of GDP growth for the third quarter of 2022.  </w:t>
      </w:r>
    </w:p>
    <w:p>
      <w:pPr>
        <w:spacing w:line="276" w:lineRule="auto"/>
        <w:ind w:left="360"/>
        <w:jc w:val="both"/>
        <w:rPr>
          <w:rFonts w:ascii="Bookman Old Style" w:hAnsi="Bookman Old Style" w:eastAsia="Bookman Old Style" w:cs="Bookman Old Style"/>
        </w:rPr>
      </w:pPr>
    </w:p>
    <w:p>
      <w:pPr>
        <w:numPr>
          <w:ilvl w:val="0"/>
          <w:numId w:val="1"/>
        </w:numPr>
        <w:spacing w:line="276" w:lineRule="auto"/>
        <w:jc w:val="both"/>
      </w:pPr>
      <w:r>
        <w:rPr>
          <w:rFonts w:ascii="Bookman Old Style" w:hAnsi="Bookman Old Style" w:eastAsia="Bookman Old Style" w:cs="Bookman Old Style"/>
        </w:rPr>
        <w:t xml:space="preserve">Main sub-sectors with more than 10 percentage expansion in quarter three of 2022 are: </w:t>
      </w:r>
    </w:p>
    <w:p>
      <w:pPr>
        <w:numPr>
          <w:ilvl w:val="1"/>
          <w:numId w:val="2"/>
        </w:numPr>
        <w:spacing w:line="276" w:lineRule="auto"/>
        <w:jc w:val="both"/>
        <w:rPr>
          <w:rFonts w:ascii="Bookman Old Style" w:hAnsi="Bookman Old Style" w:eastAsia="Bookman Old Style" w:cs="Bookman Old Style"/>
        </w:rPr>
      </w:pPr>
      <w:r>
        <w:rPr>
          <w:rFonts w:ascii="Bookman Old Style" w:hAnsi="Bookman Old Style" w:eastAsia="Bookman Old Style" w:cs="Bookman Old Style"/>
        </w:rPr>
        <w:t>Information &amp; Communication (18.4%)</w:t>
      </w:r>
    </w:p>
    <w:p>
      <w:pPr>
        <w:numPr>
          <w:ilvl w:val="1"/>
          <w:numId w:val="2"/>
        </w:numPr>
        <w:spacing w:line="276" w:lineRule="auto"/>
        <w:jc w:val="both"/>
        <w:rPr>
          <w:rFonts w:ascii="Bookman Old Style" w:hAnsi="Bookman Old Style" w:eastAsia="Bookman Old Style" w:cs="Bookman Old Style"/>
        </w:rPr>
      </w:pPr>
      <w:r>
        <w:rPr>
          <w:rFonts w:ascii="Bookman Old Style" w:hAnsi="Bookman Old Style" w:eastAsia="Bookman Old Style" w:cs="Bookman Old Style"/>
        </w:rPr>
        <w:t>Mining &amp; Quarrying (14.9%)</w:t>
      </w:r>
    </w:p>
    <w:p>
      <w:pPr>
        <w:numPr>
          <w:ilvl w:val="1"/>
          <w:numId w:val="2"/>
        </w:numPr>
        <w:spacing w:line="276" w:lineRule="auto"/>
        <w:jc w:val="both"/>
        <w:rPr>
          <w:rFonts w:ascii="Bookman Old Style" w:hAnsi="Bookman Old Style" w:eastAsia="Bookman Old Style" w:cs="Bookman Old Style"/>
        </w:rPr>
      </w:pPr>
      <w:r>
        <w:rPr>
          <w:rFonts w:ascii="Bookman Old Style" w:hAnsi="Bookman Old Style" w:eastAsia="Bookman Old Style" w:cs="Bookman Old Style"/>
        </w:rPr>
        <w:t>Education, (10.2%)</w:t>
      </w:r>
    </w:p>
    <w:p>
      <w:pPr>
        <w:spacing w:line="276" w:lineRule="auto"/>
        <w:ind w:left="1080"/>
        <w:jc w:val="both"/>
        <w:rPr>
          <w:rFonts w:ascii="Bookman Old Style" w:hAnsi="Bookman Old Style" w:eastAsia="Bookman Old Style" w:cs="Bookman Old Style"/>
        </w:rPr>
      </w:pPr>
    </w:p>
    <w:p>
      <w:pPr>
        <w:numPr>
          <w:ilvl w:val="0"/>
          <w:numId w:val="1"/>
        </w:numPr>
        <w:spacing w:line="276" w:lineRule="auto"/>
        <w:jc w:val="both"/>
      </w:pPr>
      <w:r>
        <w:rPr>
          <w:rFonts w:ascii="Bookman Old Style" w:hAnsi="Bookman Old Style" w:eastAsia="Bookman Old Style" w:cs="Bookman Old Style"/>
        </w:rPr>
        <w:t>Nine sub-sectors contracted in quarter three of 2022. These are:</w:t>
      </w:r>
    </w:p>
    <w:p>
      <w:pPr>
        <w:numPr>
          <w:ilvl w:val="1"/>
          <w:numId w:val="3"/>
        </w:numPr>
        <w:spacing w:line="276" w:lineRule="auto"/>
        <w:jc w:val="both"/>
        <w:rPr>
          <w:rFonts w:ascii="Bookman Old Style" w:hAnsi="Bookman Old Style" w:eastAsia="Bookman Old Style" w:cs="Bookman Old Style"/>
        </w:rPr>
      </w:pPr>
      <w:r>
        <w:rPr>
          <w:rFonts w:ascii="Bookman Old Style" w:hAnsi="Bookman Old Style" w:eastAsia="Bookman Old Style" w:cs="Bookman Old Style"/>
        </w:rPr>
        <w:t>Professional, Administrative &amp; Support Service activities (-12.1%)</w:t>
      </w:r>
    </w:p>
    <w:p>
      <w:pPr>
        <w:numPr>
          <w:ilvl w:val="1"/>
          <w:numId w:val="3"/>
        </w:numPr>
        <w:spacing w:line="276" w:lineRule="auto"/>
        <w:jc w:val="both"/>
        <w:rPr>
          <w:rFonts w:ascii="Bookman Old Style" w:hAnsi="Bookman Old Style" w:eastAsia="Bookman Old Style" w:cs="Bookman Old Style"/>
        </w:rPr>
      </w:pPr>
      <w:r>
        <w:rPr>
          <w:rFonts w:ascii="Bookman Old Style" w:hAnsi="Bookman Old Style" w:eastAsia="Bookman Old Style" w:cs="Bookman Old Style"/>
        </w:rPr>
        <w:t>Other Personal Service Activities (-8.6%)</w:t>
      </w:r>
    </w:p>
    <w:p>
      <w:pPr>
        <w:numPr>
          <w:ilvl w:val="1"/>
          <w:numId w:val="3"/>
        </w:numPr>
        <w:spacing w:line="276" w:lineRule="auto"/>
        <w:jc w:val="both"/>
        <w:rPr>
          <w:rFonts w:ascii="Bookman Old Style" w:hAnsi="Bookman Old Style" w:eastAsia="Bookman Old Style" w:cs="Bookman Old Style"/>
        </w:rPr>
      </w:pPr>
      <w:r>
        <w:rPr>
          <w:rFonts w:ascii="Bookman Old Style" w:hAnsi="Bookman Old Style" w:eastAsia="Bookman Old Style" w:cs="Bookman Old Style"/>
        </w:rPr>
        <w:t>Manufacturing (-7.4%)</w:t>
      </w:r>
    </w:p>
    <w:p>
      <w:pPr>
        <w:numPr>
          <w:ilvl w:val="1"/>
          <w:numId w:val="3"/>
        </w:numPr>
        <w:spacing w:line="276" w:lineRule="auto"/>
        <w:jc w:val="both"/>
        <w:rPr>
          <w:rFonts w:ascii="Bookman Old Style" w:hAnsi="Bookman Old Style" w:eastAsia="Bookman Old Style" w:cs="Bookman Old Style"/>
        </w:rPr>
      </w:pPr>
      <w:r>
        <w:rPr>
          <w:rFonts w:ascii="Bookman Old Style" w:hAnsi="Bookman Old Style" w:eastAsia="Bookman Old Style" w:cs="Bookman Old Style"/>
        </w:rPr>
        <w:t>Construction (-7.0%)</w:t>
      </w:r>
    </w:p>
    <w:p>
      <w:pPr>
        <w:numPr>
          <w:ilvl w:val="1"/>
          <w:numId w:val="3"/>
        </w:numPr>
        <w:spacing w:line="276" w:lineRule="auto"/>
        <w:jc w:val="both"/>
        <w:rPr>
          <w:rFonts w:ascii="Bookman Old Style" w:hAnsi="Bookman Old Style" w:eastAsia="Bookman Old Style" w:cs="Bookman Old Style"/>
        </w:rPr>
      </w:pPr>
      <w:r>
        <w:rPr>
          <w:rFonts w:ascii="Bookman Old Style" w:hAnsi="Bookman Old Style" w:eastAsia="Bookman Old Style" w:cs="Bookman Old Style"/>
        </w:rPr>
        <w:t>Real Estate (-6.6%)</w:t>
      </w:r>
    </w:p>
    <w:p>
      <w:pPr>
        <w:numPr>
          <w:ilvl w:val="1"/>
          <w:numId w:val="3"/>
        </w:numPr>
        <w:spacing w:line="276" w:lineRule="auto"/>
        <w:jc w:val="both"/>
        <w:rPr>
          <w:rFonts w:ascii="Bookman Old Style" w:hAnsi="Bookman Old Style" w:eastAsia="Bookman Old Style" w:cs="Bookman Old Style"/>
        </w:rPr>
      </w:pPr>
      <w:r>
        <w:rPr>
          <w:rFonts w:ascii="Bookman Old Style" w:hAnsi="Bookman Old Style" w:eastAsia="Bookman Old Style" w:cs="Bookman Old Style"/>
        </w:rPr>
        <w:t>Hotels &amp; Restaurants (-6.4%)</w:t>
      </w:r>
    </w:p>
    <w:p>
      <w:pPr>
        <w:numPr>
          <w:ilvl w:val="1"/>
          <w:numId w:val="3"/>
        </w:numPr>
        <w:spacing w:line="276" w:lineRule="auto"/>
        <w:jc w:val="both"/>
        <w:rPr>
          <w:rFonts w:ascii="Bookman Old Style" w:hAnsi="Bookman Old Style" w:eastAsia="Bookman Old Style" w:cs="Bookman Old Style"/>
        </w:rPr>
      </w:pPr>
      <w:r>
        <w:rPr>
          <w:rFonts w:ascii="Bookman Old Style" w:hAnsi="Bookman Old Style" w:eastAsia="Bookman Old Style" w:cs="Bookman Old Style"/>
        </w:rPr>
        <w:t>Trade (-2.4%)</w:t>
      </w:r>
    </w:p>
    <w:p>
      <w:pPr>
        <w:numPr>
          <w:ilvl w:val="1"/>
          <w:numId w:val="3"/>
        </w:numPr>
        <w:spacing w:line="276" w:lineRule="auto"/>
        <w:jc w:val="both"/>
        <w:rPr>
          <w:rFonts w:ascii="Bookman Old Style" w:hAnsi="Bookman Old Style" w:eastAsia="Bookman Old Style" w:cs="Bookman Old Style"/>
        </w:rPr>
      </w:pPr>
      <w:r>
        <w:rPr>
          <w:rFonts w:ascii="Bookman Old Style" w:hAnsi="Bookman Old Style" w:eastAsia="Bookman Old Style" w:cs="Bookman Old Style"/>
        </w:rPr>
        <w:t>Electricity (-3.9%).</w:t>
      </w:r>
    </w:p>
    <w:p>
      <w:pPr>
        <w:numPr>
          <w:ilvl w:val="1"/>
          <w:numId w:val="3"/>
        </w:numPr>
        <w:spacing w:line="276" w:lineRule="auto"/>
        <w:jc w:val="both"/>
        <w:rPr>
          <w:rFonts w:ascii="Bookman Old Style" w:hAnsi="Bookman Old Style" w:eastAsia="Bookman Old Style" w:cs="Bookman Old Style"/>
        </w:rPr>
      </w:pPr>
      <w:r>
        <w:rPr>
          <w:rFonts w:ascii="Bookman Old Style" w:hAnsi="Bookman Old Style" w:eastAsia="Bookman Old Style" w:cs="Bookman Old Style"/>
        </w:rPr>
        <w:t>Water (-3.0%)</w:t>
      </w:r>
    </w:p>
    <w:p>
      <w:pPr>
        <w:tabs>
          <w:tab w:val="left" w:pos="3000"/>
        </w:tabs>
        <w:jc w:val="both"/>
        <w:rPr>
          <w:rFonts w:ascii="Bookman Old Style" w:hAnsi="Bookman Old Style" w:eastAsia="Bookman Old Style" w:cs="Bookman Old Style"/>
          <w:b/>
        </w:rPr>
      </w:pPr>
    </w:p>
    <w:p>
      <w:pPr>
        <w:tabs>
          <w:tab w:val="left" w:pos="3000"/>
        </w:tabs>
        <w:jc w:val="both"/>
        <w:rPr>
          <w:rFonts w:ascii="Bookman Old Style" w:hAnsi="Bookman Old Style" w:eastAsia="Bookman Old Style" w:cs="Bookman Old Style"/>
          <w:b/>
        </w:rPr>
      </w:pPr>
      <w:r>
        <w:rPr>
          <w:rFonts w:ascii="Bookman Old Style" w:hAnsi="Bookman Old Style" w:eastAsia="Bookman Old Style" w:cs="Bookman Old Style"/>
          <w:b/>
        </w:rPr>
        <w:t>Things you need to note about this release</w:t>
      </w:r>
    </w:p>
    <w:p>
      <w:pPr>
        <w:tabs>
          <w:tab w:val="left" w:pos="3000"/>
        </w:tabs>
        <w:jc w:val="both"/>
        <w:rPr>
          <w:rFonts w:ascii="Bookman Old Style" w:hAnsi="Bookman Old Style" w:eastAsia="Bookman Old Style" w:cs="Bookman Old Style"/>
          <w:b/>
        </w:rPr>
      </w:pPr>
    </w:p>
    <w:p>
      <w:pPr>
        <w:tabs>
          <w:tab w:val="left" w:pos="3000"/>
        </w:tabs>
        <w:spacing w:line="276" w:lineRule="auto"/>
        <w:jc w:val="both"/>
        <w:rPr>
          <w:rFonts w:ascii="Bookman Old Style" w:hAnsi="Bookman Old Style" w:eastAsia="Bookman Old Style" w:cs="Bookman Old Style"/>
        </w:rPr>
      </w:pPr>
      <w:r>
        <w:rPr>
          <w:rFonts w:ascii="Bookman Old Style" w:hAnsi="Bookman Old Style" w:eastAsia="Bookman Old Style" w:cs="Bookman Old Style"/>
        </w:rPr>
        <w:t xml:space="preserve">Gross Domestic Product (GDP) growth is the main indicator of economic performance. There are three approaches used to measure GDP: the output approach, the expenditure approach, and the income approach. </w:t>
      </w:r>
    </w:p>
    <w:p>
      <w:pPr>
        <w:tabs>
          <w:tab w:val="left" w:pos="3000"/>
        </w:tabs>
        <w:jc w:val="both"/>
        <w:rPr>
          <w:rFonts w:ascii="Bookman Old Style" w:hAnsi="Bookman Old Style" w:eastAsia="Bookman Old Style" w:cs="Bookman Old Style"/>
        </w:rPr>
      </w:pPr>
    </w:p>
    <w:p>
      <w:pPr>
        <w:spacing w:line="276" w:lineRule="auto"/>
        <w:jc w:val="both"/>
        <w:rPr>
          <w:rFonts w:ascii="Bookman Old Style" w:hAnsi="Bookman Old Style" w:eastAsia="Bookman Old Style" w:cs="Bookman Old Style"/>
        </w:rPr>
      </w:pPr>
      <w:r>
        <w:rPr>
          <w:rFonts w:ascii="Bookman Old Style" w:hAnsi="Bookman Old Style" w:eastAsia="Bookman Old Style" w:cs="Bookman Old Style"/>
        </w:rPr>
        <w:t>This Statistical Release contains independently compiled quarterly estimates of the Gross Domestic Product (GDP) for the 3</w:t>
      </w:r>
      <w:r>
        <w:rPr>
          <w:rFonts w:ascii="Bookman Old Style" w:hAnsi="Bookman Old Style" w:eastAsia="Bookman Old Style" w:cs="Bookman Old Style"/>
          <w:vertAlign w:val="superscript"/>
        </w:rPr>
        <w:t>rd</w:t>
      </w:r>
      <w:r>
        <w:rPr>
          <w:rFonts w:ascii="Bookman Old Style" w:hAnsi="Bookman Old Style" w:eastAsia="Bookman Old Style" w:cs="Bookman Old Style"/>
        </w:rPr>
        <w:t xml:space="preserve"> quarter of 2022 using the production approach. The estimates are based on the 2008 System of National Accounts (SNA), the International Standard Industrial Classification (Rev.4) published by the United Nations, and the Quarterly National Accounts Manual: Concepts, Data Sources and Compilation prepared by the International Monetary Fund (IMF). This means that the methodology, concepts, and classifications are in accordance with the guidelines and recommendations of an internationally agreed system of national accounts. The estimates of real GDP are expressed in terms of the base year, 2013. The Annual GDP estimates are derived independent of the quarterly estimates. Short-term indicators are used to estimate the quarterly GDP (see IMF’s Quarterly National Accounts Manual: Concepts, Data Sources and Compilation) and benchmarked to the annual GDP. </w:t>
      </w:r>
    </w:p>
    <w:p>
      <w:pPr>
        <w:spacing w:line="276" w:lineRule="auto"/>
        <w:jc w:val="both"/>
        <w:rPr>
          <w:rFonts w:ascii="Bookman Old Style" w:hAnsi="Bookman Old Style" w:eastAsia="Bookman Old Style" w:cs="Bookman Old Style"/>
        </w:rPr>
      </w:pPr>
    </w:p>
    <w:p>
      <w:pPr>
        <w:spacing w:line="276" w:lineRule="auto"/>
        <w:jc w:val="both"/>
        <w:rPr>
          <w:rFonts w:ascii="Bookman Old Style" w:hAnsi="Bookman Old Style" w:eastAsia="Bookman Old Style" w:cs="Bookman Old Style"/>
        </w:rPr>
      </w:pPr>
      <w:r>
        <w:rPr>
          <w:rFonts w:ascii="Bookman Old Style" w:hAnsi="Bookman Old Style" w:eastAsia="Bookman Old Style" w:cs="Bookman Old Style"/>
          <w:b/>
        </w:rPr>
        <w:t xml:space="preserve">Current or Nominal GDP </w:t>
      </w:r>
      <w:r>
        <w:rPr>
          <w:rFonts w:ascii="Bookman Old Style" w:hAnsi="Bookman Old Style" w:eastAsia="Bookman Old Style" w:cs="Bookman Old Style"/>
        </w:rPr>
        <w:t>is the value of final goods and services evaluated at current quarter prices.</w:t>
      </w:r>
    </w:p>
    <w:p>
      <w:pPr>
        <w:spacing w:line="276" w:lineRule="auto"/>
        <w:jc w:val="both"/>
        <w:rPr>
          <w:rFonts w:ascii="Bookman Old Style" w:hAnsi="Bookman Old Style" w:eastAsia="Bookman Old Style" w:cs="Bookman Old Style"/>
        </w:rPr>
      </w:pPr>
    </w:p>
    <w:p>
      <w:pPr>
        <w:spacing w:line="276" w:lineRule="auto"/>
        <w:jc w:val="both"/>
        <w:rPr>
          <w:rFonts w:ascii="Bookman Old Style" w:hAnsi="Bookman Old Style" w:eastAsia="Bookman Old Style" w:cs="Bookman Old Style"/>
        </w:rPr>
      </w:pPr>
      <w:r>
        <w:rPr>
          <w:rFonts w:ascii="Bookman Old Style" w:hAnsi="Bookman Old Style" w:eastAsia="Bookman Old Style" w:cs="Bookman Old Style"/>
          <w:b/>
        </w:rPr>
        <w:t xml:space="preserve">Constant or Real GDP </w:t>
      </w:r>
      <w:r>
        <w:rPr>
          <w:rFonts w:ascii="Bookman Old Style" w:hAnsi="Bookman Old Style" w:eastAsia="Bookman Old Style" w:cs="Bookman Old Style"/>
        </w:rPr>
        <w:t>is the value of final goods and services evaluated at base year prices. In Ghana, the base year is 2013. By using the prices from the base-year (or holding prices constant over time), we eliminate the impact of rising prices on GDP in order to get a measure of “Real” economic activity.</w:t>
      </w:r>
    </w:p>
    <w:p>
      <w:pPr>
        <w:spacing w:line="276" w:lineRule="auto"/>
        <w:jc w:val="both"/>
        <w:rPr>
          <w:rFonts w:ascii="Bookman Old Style" w:hAnsi="Bookman Old Style" w:eastAsia="Bookman Old Style" w:cs="Bookman Old Style"/>
        </w:rPr>
      </w:pPr>
    </w:p>
    <w:p>
      <w:pPr>
        <w:jc w:val="both"/>
        <w:rPr>
          <w:rFonts w:ascii="Bookman Old Style" w:hAnsi="Bookman Old Style" w:eastAsia="Bookman Old Style" w:cs="Bookman Old Style"/>
          <w:b/>
        </w:rPr>
      </w:pPr>
      <w:r>
        <w:rPr>
          <w:rFonts w:ascii="Bookman Old Style" w:hAnsi="Bookman Old Style" w:eastAsia="Bookman Old Style" w:cs="Bookman Old Style"/>
          <w:b/>
        </w:rPr>
        <w:t xml:space="preserve">Seasonal Adjustment </w:t>
      </w:r>
    </w:p>
    <w:p>
      <w:pPr>
        <w:jc w:val="both"/>
        <w:rPr>
          <w:rFonts w:ascii="Bookman Old Style" w:hAnsi="Bookman Old Style" w:eastAsia="Bookman Old Style" w:cs="Bookman Old Style"/>
          <w:b/>
        </w:rPr>
      </w:pPr>
    </w:p>
    <w:p>
      <w:pPr>
        <w:spacing w:line="276" w:lineRule="auto"/>
        <w:jc w:val="both"/>
        <w:rPr>
          <w:rFonts w:ascii="Bookman Old Style" w:hAnsi="Bookman Old Style" w:eastAsia="Bookman Old Style" w:cs="Bookman Old Style"/>
        </w:rPr>
      </w:pPr>
      <w:r>
        <w:rPr>
          <w:rFonts w:ascii="Bookman Old Style" w:hAnsi="Bookman Old Style" w:eastAsia="Bookman Old Style" w:cs="Bookman Old Style"/>
        </w:rPr>
        <w:t>The quarterly value added, and GDP estimates have been seasonally adjusted. Seasonal adjustment is the process of estimating and removing seasonal effects from time series to reveal non-seasonal features. This process is to provide a clearer view of short-term movements and trends and to allow early identification of turning points.</w:t>
      </w:r>
    </w:p>
    <w:p>
      <w:pPr>
        <w:jc w:val="both"/>
        <w:rPr>
          <w:rFonts w:ascii="Bookman Old Style" w:hAnsi="Bookman Old Style" w:eastAsia="Bookman Old Style" w:cs="Bookman Old Style"/>
          <w:b/>
        </w:rPr>
      </w:pPr>
    </w:p>
    <w:p>
      <w:pPr>
        <w:jc w:val="both"/>
        <w:rPr>
          <w:rFonts w:ascii="Bookman Old Style" w:hAnsi="Bookman Old Style" w:eastAsia="Bookman Old Style" w:cs="Bookman Old Style"/>
          <w:b/>
        </w:rPr>
      </w:pPr>
      <w:r>
        <w:rPr>
          <w:rFonts w:ascii="Bookman Old Style" w:hAnsi="Bookman Old Style" w:eastAsia="Bookman Old Style" w:cs="Bookman Old Style"/>
          <w:b/>
        </w:rPr>
        <w:t>Revision Policy</w:t>
      </w:r>
    </w:p>
    <w:p>
      <w:pPr>
        <w:jc w:val="both"/>
        <w:rPr>
          <w:rFonts w:ascii="Bookman Old Style" w:hAnsi="Bookman Old Style" w:eastAsia="Bookman Old Style" w:cs="Bookman Old Style"/>
          <w:b/>
        </w:rPr>
      </w:pPr>
    </w:p>
    <w:p>
      <w:pPr>
        <w:spacing w:line="276" w:lineRule="auto"/>
        <w:jc w:val="both"/>
        <w:rPr>
          <w:rFonts w:ascii="Bookman Old Style" w:hAnsi="Bookman Old Style" w:eastAsia="Bookman Old Style" w:cs="Bookman Old Style"/>
        </w:rPr>
      </w:pPr>
      <w:r>
        <w:rPr>
          <w:rFonts w:ascii="Bookman Old Style" w:hAnsi="Bookman Old Style" w:eastAsia="Bookman Old Style" w:cs="Bookman Old Style"/>
        </w:rPr>
        <w:t>While the majority of revisions are made to the four most recent quarters of the series, there is no restriction on when an estimate of the quarterly series for a given period can be revised. The main causes of revisions are as follows:</w:t>
      </w:r>
    </w:p>
    <w:p>
      <w:pPr>
        <w:jc w:val="both"/>
        <w:rPr>
          <w:rFonts w:ascii="Bookman Old Style" w:hAnsi="Bookman Old Style" w:eastAsia="Bookman Old Style" w:cs="Bookman Old Style"/>
        </w:rPr>
      </w:pPr>
    </w:p>
    <w:p>
      <w:pPr>
        <w:numPr>
          <w:ilvl w:val="0"/>
          <w:numId w:val="4"/>
        </w:numPr>
        <w:spacing w:line="276" w:lineRule="auto"/>
        <w:jc w:val="both"/>
        <w:rPr>
          <w:rFonts w:ascii="Bookman Old Style" w:hAnsi="Bookman Old Style" w:eastAsia="Bookman Old Style" w:cs="Bookman Old Style"/>
        </w:rPr>
      </w:pPr>
      <w:r>
        <w:rPr>
          <w:rFonts w:ascii="Bookman Old Style" w:hAnsi="Bookman Old Style" w:eastAsia="Bookman Old Style" w:cs="Bookman Old Style"/>
        </w:rPr>
        <w:t>Incorporation of additional and improved data: Most revisions reflect the incorporation of a wider range of data. In particular, some data that were not available at the release date are incorporated through revisions into subsequent releases.</w:t>
      </w:r>
    </w:p>
    <w:p>
      <w:pPr>
        <w:jc w:val="both"/>
        <w:rPr>
          <w:rFonts w:ascii="Bookman Old Style" w:hAnsi="Bookman Old Style" w:eastAsia="Bookman Old Style" w:cs="Bookman Old Style"/>
        </w:rPr>
      </w:pPr>
    </w:p>
    <w:p>
      <w:pPr>
        <w:numPr>
          <w:ilvl w:val="0"/>
          <w:numId w:val="4"/>
        </w:numPr>
        <w:spacing w:line="276" w:lineRule="auto"/>
        <w:jc w:val="both"/>
        <w:rPr>
          <w:rFonts w:ascii="Bookman Old Style" w:hAnsi="Bookman Old Style" w:eastAsia="Bookman Old Style" w:cs="Bookman Old Style"/>
        </w:rPr>
      </w:pPr>
      <w:r>
        <w:rPr>
          <w:rFonts w:ascii="Bookman Old Style" w:hAnsi="Bookman Old Style" w:eastAsia="Bookman Old Style" w:cs="Bookman Old Style"/>
        </w:rPr>
        <w:t>Reconciliation of quarterly and annual measures: The process of reconciling the quarterly measures with the annual measures can lead to further revisions. The quarterly measures of these series are based on a smaller range of data than the annual measures.</w:t>
      </w:r>
    </w:p>
    <w:p>
      <w:pPr>
        <w:ind w:left="720"/>
        <w:jc w:val="both"/>
        <w:rPr>
          <w:rFonts w:ascii="Bookman Old Style" w:hAnsi="Bookman Old Style" w:eastAsia="Bookman Old Style" w:cs="Bookman Old Style"/>
        </w:rPr>
      </w:pPr>
    </w:p>
    <w:p>
      <w:pPr>
        <w:numPr>
          <w:ilvl w:val="0"/>
          <w:numId w:val="4"/>
        </w:numPr>
        <w:spacing w:line="276" w:lineRule="auto"/>
        <w:jc w:val="both"/>
        <w:rPr>
          <w:rFonts w:ascii="Bookman Old Style" w:hAnsi="Bookman Old Style" w:eastAsia="Bookman Old Style" w:cs="Bookman Old Style"/>
        </w:rPr>
      </w:pPr>
      <w:r>
        <w:rPr>
          <w:rFonts w:ascii="Bookman Old Style" w:hAnsi="Bookman Old Style" w:eastAsia="Bookman Old Style" w:cs="Bookman Old Style"/>
        </w:rPr>
        <w:t>The rebased provisional quarterly GDP estimates may be revised further and finalized based on the availability of additional data. The next revision of the quarterly and annual GDP estimates will be done in April 2023.</w:t>
      </w:r>
    </w:p>
    <w:p>
      <w:pPr>
        <w:jc w:val="both"/>
        <w:rPr>
          <w:rFonts w:ascii="Bookman Old Style" w:hAnsi="Bookman Old Style" w:eastAsia="Bookman Old Style" w:cs="Bookman Old Style"/>
          <w:b/>
        </w:rPr>
      </w:pPr>
    </w:p>
    <w:p>
      <w:pPr>
        <w:jc w:val="both"/>
        <w:rPr>
          <w:rFonts w:ascii="Bookman Old Style" w:hAnsi="Bookman Old Style" w:eastAsia="Bookman Old Style" w:cs="Bookman Old Style"/>
          <w:b/>
        </w:rPr>
      </w:pPr>
      <w:r>
        <w:rPr>
          <w:rFonts w:ascii="Bookman Old Style" w:hAnsi="Bookman Old Style" w:eastAsia="Bookman Old Style" w:cs="Bookman Old Style"/>
          <w:b/>
        </w:rPr>
        <w:t>Related Publications</w:t>
      </w:r>
    </w:p>
    <w:p>
      <w:pPr>
        <w:jc w:val="both"/>
        <w:rPr>
          <w:rFonts w:ascii="Bookman Old Style" w:hAnsi="Bookman Old Style" w:eastAsia="Bookman Old Style" w:cs="Bookman Old Style"/>
          <w:b/>
        </w:rPr>
      </w:pPr>
    </w:p>
    <w:p>
      <w:pPr>
        <w:jc w:val="both"/>
        <w:rPr>
          <w:rFonts w:ascii="Bookman Old Style" w:hAnsi="Bookman Old Style" w:eastAsia="Bookman Old Style" w:cs="Bookman Old Style"/>
          <w:b/>
          <w:u w:val="single"/>
        </w:rPr>
      </w:pPr>
      <w:r>
        <w:rPr>
          <w:rFonts w:ascii="Bookman Old Style" w:hAnsi="Bookman Old Style" w:eastAsia="Bookman Old Style" w:cs="Bookman Old Style"/>
        </w:rPr>
        <w:t>Users may refer to other publications on GDP on the</w:t>
      </w:r>
      <w:r>
        <w:rPr>
          <w:rFonts w:ascii="Bookman Old Style" w:hAnsi="Bookman Old Style" w:eastAsia="Bookman Old Style" w:cs="Bookman Old Style"/>
          <w:b/>
        </w:rPr>
        <w:t xml:space="preserve"> GSS website:  </w:t>
      </w:r>
      <w:r>
        <w:fldChar w:fldCharType="begin"/>
      </w:r>
      <w:r>
        <w:instrText xml:space="preserve"> HYPERLINK "about:blank" \h </w:instrText>
      </w:r>
      <w:r>
        <w:fldChar w:fldCharType="separate"/>
      </w:r>
      <w:r>
        <w:rPr>
          <w:rFonts w:ascii="Bookman Old Style" w:hAnsi="Bookman Old Style" w:eastAsia="Bookman Old Style" w:cs="Bookman Old Style"/>
          <w:b/>
          <w:u w:val="single"/>
        </w:rPr>
        <w:t>www.statsghana.gov.gh</w:t>
      </w:r>
      <w:r>
        <w:rPr>
          <w:rFonts w:ascii="Bookman Old Style" w:hAnsi="Bookman Old Style" w:eastAsia="Bookman Old Style" w:cs="Bookman Old Style"/>
          <w:b/>
          <w:u w:val="single"/>
        </w:rPr>
        <w:fldChar w:fldCharType="end"/>
      </w:r>
    </w:p>
    <w:p>
      <w:pPr>
        <w:tabs>
          <w:tab w:val="left" w:pos="3000"/>
        </w:tabs>
        <w:jc w:val="both"/>
        <w:rPr>
          <w:rFonts w:ascii="Bookman Old Style" w:hAnsi="Bookman Old Style" w:eastAsia="Bookman Old Style" w:cs="Bookman Old Style"/>
          <w:b/>
        </w:rPr>
      </w:pPr>
      <w:r>
        <w:rPr>
          <w:rFonts w:ascii="Bookman Old Style" w:hAnsi="Bookman Old Style" w:eastAsia="Bookman Old Style" w:cs="Bookman Old Style"/>
          <w:b/>
        </w:rPr>
        <w:t>Quarterly real GDP growth: July to September 2022</w:t>
      </w:r>
    </w:p>
    <w:p>
      <w:pPr>
        <w:tabs>
          <w:tab w:val="left" w:pos="3000"/>
        </w:tabs>
        <w:jc w:val="both"/>
        <w:rPr>
          <w:rFonts w:ascii="Bookman Old Style" w:hAnsi="Bookman Old Style" w:eastAsia="Bookman Old Style" w:cs="Bookman Old Style"/>
          <w:b/>
        </w:rPr>
      </w:pPr>
    </w:p>
    <w:p>
      <w:pPr>
        <w:tabs>
          <w:tab w:val="left" w:pos="3000"/>
        </w:tabs>
        <w:spacing w:line="276" w:lineRule="auto"/>
        <w:jc w:val="both"/>
        <w:rPr>
          <w:rFonts w:ascii="Bookman Old Style" w:hAnsi="Bookman Old Style" w:eastAsia="Bookman Old Style" w:cs="Bookman Old Style"/>
        </w:rPr>
      </w:pPr>
      <w:r>
        <w:rPr>
          <w:rFonts w:ascii="Bookman Old Style" w:hAnsi="Bookman Old Style" w:eastAsia="Bookman Old Style" w:cs="Bookman Old Style"/>
        </w:rPr>
        <w:t xml:space="preserve">Provisional real quarterly gross domestic product (QGDP) growth rate including Oil and Gas, is 2.9% (year on year) in the third quarter of 2022. In the same period of 2021, the growth was 6.5%. </w:t>
      </w:r>
    </w:p>
    <w:p>
      <w:pPr>
        <w:tabs>
          <w:tab w:val="left" w:pos="3000"/>
        </w:tabs>
        <w:jc w:val="both"/>
        <w:rPr>
          <w:rFonts w:ascii="Bookman Old Style" w:hAnsi="Bookman Old Style" w:eastAsia="Bookman Old Style" w:cs="Bookman Old Style"/>
        </w:rPr>
      </w:pPr>
    </w:p>
    <w:p>
      <w:pPr>
        <w:tabs>
          <w:tab w:val="left" w:pos="3000"/>
        </w:tabs>
        <w:spacing w:line="276" w:lineRule="auto"/>
        <w:jc w:val="both"/>
        <w:rPr>
          <w:rFonts w:ascii="Bookman Old Style" w:hAnsi="Bookman Old Style" w:eastAsia="Bookman Old Style" w:cs="Bookman Old Style"/>
        </w:rPr>
      </w:pPr>
      <w:r>
        <w:rPr>
          <w:rFonts w:ascii="Bookman Old Style" w:hAnsi="Bookman Old Style" w:eastAsia="Bookman Old Style" w:cs="Bookman Old Style"/>
        </w:rPr>
        <w:t>GDP growth rate without oil and gas (Non-Oil GDP) for third quarter of 2022 is 3.6 % which compares to the same period in 2021 with a growth rate of 8.2%.</w:t>
      </w:r>
    </w:p>
    <w:p>
      <w:pPr>
        <w:tabs>
          <w:tab w:val="left" w:pos="3000"/>
        </w:tabs>
        <w:jc w:val="both"/>
        <w:rPr>
          <w:rFonts w:ascii="Bookman Old Style" w:hAnsi="Bookman Old Style" w:eastAsia="Bookman Old Style" w:cs="Bookman Old Style"/>
        </w:rPr>
      </w:pPr>
    </w:p>
    <w:p>
      <w:pPr>
        <w:spacing w:line="276" w:lineRule="auto"/>
        <w:jc w:val="both"/>
        <w:rPr>
          <w:rFonts w:ascii="Bookman Old Style" w:hAnsi="Bookman Old Style" w:eastAsia="Bookman Old Style" w:cs="Bookman Old Style"/>
        </w:rPr>
      </w:pPr>
      <w:r>
        <w:rPr>
          <w:rFonts w:ascii="Bookman Old Style" w:hAnsi="Bookman Old Style" w:eastAsia="Bookman Old Style" w:cs="Bookman Old Style"/>
        </w:rPr>
        <w:t>The Agriculture sector recorded the highest growth of 4.6%, followed by the Services sector with a growth of 3.9% and the Industry sector with a 0.9 percent growth rate.</w:t>
      </w:r>
    </w:p>
    <w:p>
      <w:pPr>
        <w:tabs>
          <w:tab w:val="left" w:pos="3000"/>
        </w:tabs>
        <w:jc w:val="both"/>
        <w:rPr>
          <w:rFonts w:ascii="Bookman Old Style" w:hAnsi="Bookman Old Style" w:eastAsia="Bookman Old Style" w:cs="Bookman Old Style"/>
          <w:sz w:val="22"/>
          <w:szCs w:val="22"/>
        </w:rPr>
      </w:pPr>
    </w:p>
    <w:p>
      <w:pPr>
        <w:tabs>
          <w:tab w:val="left" w:pos="3000"/>
        </w:tabs>
        <w:jc w:val="both"/>
        <w:rPr>
          <w:rFonts w:ascii="Bookman Old Style" w:hAnsi="Bookman Old Style" w:eastAsia="Bookman Old Style" w:cs="Bookman Old Style"/>
          <w:b/>
        </w:rPr>
      </w:pPr>
      <w:r>
        <w:rPr>
          <w:rFonts w:ascii="Bookman Old Style" w:hAnsi="Bookman Old Style" w:eastAsia="Bookman Old Style" w:cs="Bookman Old Style"/>
          <w:b/>
        </w:rPr>
        <w:t>Figure1: Quarterly real GDP growth rate (2020Q3-2022Q3)</w:t>
      </w:r>
    </w:p>
    <w:p>
      <w:pPr>
        <w:tabs>
          <w:tab w:val="left" w:pos="3000"/>
        </w:tabs>
        <w:jc w:val="both"/>
        <w:rPr>
          <w:rFonts w:ascii="Bookman Old Style" w:hAnsi="Bookman Old Style" w:eastAsia="Bookman Old Style" w:cs="Bookman Old Style"/>
          <w:b/>
        </w:rPr>
      </w:pPr>
      <w:r>
        <w:rPr>
          <w:b/>
          <w:bCs/>
        </w:rPr>
        <w:drawing>
          <wp:inline distT="0" distB="0" distL="0" distR="0">
            <wp:extent cx="6267450" cy="37147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tabs>
          <w:tab w:val="left" w:pos="3000"/>
        </w:tabs>
        <w:jc w:val="both"/>
        <w:rPr>
          <w:rFonts w:ascii="Bookman Old Style" w:hAnsi="Bookman Old Style" w:eastAsia="Bookman Old Style" w:cs="Bookman Old Style"/>
          <w:b/>
        </w:rPr>
      </w:pPr>
    </w:p>
    <w:p>
      <w:pPr>
        <w:tabs>
          <w:tab w:val="left" w:pos="3000"/>
        </w:tabs>
        <w:jc w:val="both"/>
        <w:rPr>
          <w:rFonts w:ascii="Bookman Old Style" w:hAnsi="Bookman Old Style" w:eastAsia="Bookman Old Style" w:cs="Bookman Old Style"/>
          <w:b/>
        </w:rPr>
      </w:pPr>
    </w:p>
    <w:p>
      <w:pPr>
        <w:tabs>
          <w:tab w:val="left" w:pos="2790"/>
        </w:tabs>
        <w:jc w:val="both"/>
        <w:rPr>
          <w:rFonts w:ascii="Bookman Old Style" w:hAnsi="Bookman Old Style" w:eastAsia="Bookman Old Style" w:cs="Bookman Old Style"/>
          <w:b/>
        </w:rPr>
      </w:pPr>
      <w:r>
        <w:rPr>
          <w:rFonts w:ascii="Bookman Old Style" w:hAnsi="Bookman Old Style" w:eastAsia="Bookman Old Style" w:cs="Bookman Old Style"/>
          <w:b/>
        </w:rPr>
        <w:t>Real quarterly gross domestic product: July to September 2022</w:t>
      </w:r>
    </w:p>
    <w:p>
      <w:pPr>
        <w:tabs>
          <w:tab w:val="left" w:pos="2790"/>
        </w:tabs>
        <w:jc w:val="both"/>
        <w:rPr>
          <w:rFonts w:ascii="Bookman Old Style" w:hAnsi="Bookman Old Style" w:eastAsia="Bookman Old Style" w:cs="Bookman Old Style"/>
          <w:b/>
        </w:rPr>
      </w:pPr>
    </w:p>
    <w:p>
      <w:pPr>
        <w:jc w:val="both"/>
        <w:rPr>
          <w:rFonts w:ascii="Calibri" w:hAnsi="Calibri" w:cs="Calibri"/>
          <w:b/>
          <w:bCs/>
          <w:color w:val="000000"/>
          <w:sz w:val="22"/>
          <w:szCs w:val="22"/>
        </w:rPr>
      </w:pPr>
      <w:r>
        <w:rPr>
          <w:rFonts w:ascii="Bookman Old Style" w:hAnsi="Bookman Old Style" w:eastAsia="Bookman Old Style" w:cs="Bookman Old Style"/>
        </w:rPr>
        <w:t xml:space="preserve">The </w:t>
      </w:r>
      <w:r>
        <w:rPr>
          <w:rFonts w:ascii="Bookman Old Style" w:hAnsi="Bookman Old Style" w:eastAsia="Bookman Old Style" w:cs="Bookman Old Style"/>
          <w:b/>
        </w:rPr>
        <w:t>GDP</w:t>
      </w:r>
      <w:r>
        <w:rPr>
          <w:rFonts w:ascii="Bookman Old Style" w:hAnsi="Bookman Old Style" w:eastAsia="Bookman Old Style" w:cs="Bookman Old Style"/>
        </w:rPr>
        <w:t xml:space="preserve"> (Including Oil &amp; Gas) estimate at constant 2013 prices for the 3</w:t>
      </w:r>
      <w:r>
        <w:rPr>
          <w:rFonts w:ascii="Bookman Old Style" w:hAnsi="Bookman Old Style" w:eastAsia="Bookman Old Style" w:cs="Bookman Old Style"/>
          <w:vertAlign w:val="superscript"/>
        </w:rPr>
        <w:t>rd</w:t>
      </w:r>
      <w:r>
        <w:rPr>
          <w:rFonts w:ascii="Bookman Old Style" w:hAnsi="Bookman Old Style" w:eastAsia="Bookman Old Style" w:cs="Bookman Old Style"/>
        </w:rPr>
        <w:t xml:space="preserve"> quarter of 2022 was </w:t>
      </w:r>
      <w:r>
        <w:rPr>
          <w:rFonts w:ascii="Bookman Old Style" w:hAnsi="Bookman Old Style" w:eastAsia="Bookman Old Style" w:cs="Bookman Old Style"/>
          <w:b/>
        </w:rPr>
        <w:t>GH¢44,289.7 million</w:t>
      </w:r>
      <w:r>
        <w:rPr>
          <w:rFonts w:ascii="Bookman Old Style" w:hAnsi="Bookman Old Style" w:eastAsia="Bookman Old Style" w:cs="Bookman Old Style"/>
        </w:rPr>
        <w:t xml:space="preserve"> compared to </w:t>
      </w:r>
      <w:r>
        <w:rPr>
          <w:rFonts w:ascii="Bookman Old Style" w:hAnsi="Bookman Old Style" w:eastAsia="Bookman Old Style" w:cs="Bookman Old Style"/>
          <w:b/>
        </w:rPr>
        <w:t>GH¢43,025.3 million</w:t>
      </w:r>
      <w:r>
        <w:rPr>
          <w:rFonts w:ascii="Bookman Old Style" w:hAnsi="Bookman Old Style" w:eastAsia="Bookman Old Style" w:cs="Bookman Old Style"/>
        </w:rPr>
        <w:t xml:space="preserve"> in the 3</w:t>
      </w:r>
      <w:r>
        <w:rPr>
          <w:rFonts w:ascii="Bookman Old Style" w:hAnsi="Bookman Old Style" w:eastAsia="Bookman Old Style" w:cs="Bookman Old Style"/>
          <w:vertAlign w:val="superscript"/>
        </w:rPr>
        <w:t>rd</w:t>
      </w:r>
      <w:r>
        <w:rPr>
          <w:rFonts w:ascii="Bookman Old Style" w:hAnsi="Bookman Old Style" w:eastAsia="Bookman Old Style" w:cs="Bookman Old Style"/>
        </w:rPr>
        <w:t xml:space="preserve"> quarter of 2021. </w:t>
      </w:r>
    </w:p>
    <w:p>
      <w:pPr>
        <w:jc w:val="both"/>
        <w:rPr>
          <w:rFonts w:ascii="Bookman Old Style" w:hAnsi="Bookman Old Style" w:eastAsia="Bookman Old Style" w:cs="Bookman Old Style"/>
        </w:rPr>
      </w:pPr>
    </w:p>
    <w:p>
      <w:pPr>
        <w:jc w:val="both"/>
        <w:rPr>
          <w:rFonts w:ascii="Bookman Old Style" w:hAnsi="Bookman Old Style" w:eastAsia="Bookman Old Style" w:cs="Bookman Old Style"/>
        </w:rPr>
      </w:pPr>
      <w:r>
        <w:rPr>
          <w:rFonts w:ascii="Bookman Old Style" w:hAnsi="Bookman Old Style" w:eastAsia="Bookman Old Style" w:cs="Bookman Old Style"/>
        </w:rPr>
        <w:t xml:space="preserve">The </w:t>
      </w:r>
      <w:r>
        <w:rPr>
          <w:rFonts w:ascii="Bookman Old Style" w:hAnsi="Bookman Old Style" w:eastAsia="Bookman Old Style" w:cs="Bookman Old Style"/>
          <w:b/>
        </w:rPr>
        <w:t>Non-oil GDP</w:t>
      </w:r>
      <w:r>
        <w:rPr>
          <w:rFonts w:ascii="Bookman Old Style" w:hAnsi="Bookman Old Style" w:eastAsia="Bookman Old Style" w:cs="Bookman Old Style"/>
        </w:rPr>
        <w:t xml:space="preserve"> at constant 2013 prices for the 3</w:t>
      </w:r>
      <w:r>
        <w:rPr>
          <w:rFonts w:ascii="Bookman Old Style" w:hAnsi="Bookman Old Style" w:eastAsia="Bookman Old Style" w:cs="Bookman Old Style"/>
          <w:vertAlign w:val="superscript"/>
        </w:rPr>
        <w:t>rd</w:t>
      </w:r>
      <w:r>
        <w:rPr>
          <w:rFonts w:ascii="Bookman Old Style" w:hAnsi="Bookman Old Style" w:eastAsia="Bookman Old Style" w:cs="Bookman Old Style"/>
        </w:rPr>
        <w:t xml:space="preserve"> quarter of 2022 was</w:t>
      </w:r>
      <w:r>
        <w:rPr>
          <w:rFonts w:ascii="Bookman Old Style" w:hAnsi="Bookman Old Style" w:eastAsia="Bookman Old Style" w:cs="Bookman Old Style"/>
          <w:b/>
        </w:rPr>
        <w:t xml:space="preserve">                  </w:t>
      </w:r>
      <w:r>
        <w:rPr>
          <w:rFonts w:ascii="Bookman Old Style" w:hAnsi="Bookman Old Style" w:eastAsia="Bookman Old Style" w:cs="Bookman Old Style"/>
          <w:b/>
          <w:bCs/>
        </w:rPr>
        <w:t>GH¢41,586.5 million</w:t>
      </w:r>
      <w:r>
        <w:rPr>
          <w:rFonts w:ascii="Bookman Old Style" w:hAnsi="Bookman Old Style" w:eastAsia="Bookman Old Style" w:cs="Bookman Old Style"/>
        </w:rPr>
        <w:t xml:space="preserve"> compared to</w:t>
      </w:r>
      <w:r>
        <w:rPr>
          <w:rFonts w:ascii="Bookman Old Style" w:hAnsi="Bookman Old Style" w:eastAsia="Bookman Old Style" w:cs="Bookman Old Style"/>
          <w:b/>
        </w:rPr>
        <w:t xml:space="preserve"> </w:t>
      </w:r>
      <w:r>
        <w:rPr>
          <w:rFonts w:ascii="Bookman Old Style" w:hAnsi="Bookman Old Style" w:eastAsia="Bookman Old Style" w:cs="Bookman Old Style"/>
          <w:b/>
          <w:bCs/>
        </w:rPr>
        <w:t>GH¢40,156.7 million</w:t>
      </w:r>
      <w:r>
        <w:rPr>
          <w:rFonts w:ascii="Bookman Old Style" w:hAnsi="Bookman Old Style" w:eastAsia="Bookman Old Style" w:cs="Bookman Old Style"/>
        </w:rPr>
        <w:t xml:space="preserve"> in the 3</w:t>
      </w:r>
      <w:r>
        <w:rPr>
          <w:rFonts w:ascii="Bookman Old Style" w:hAnsi="Bookman Old Style" w:eastAsia="Bookman Old Style" w:cs="Bookman Old Style"/>
          <w:vertAlign w:val="superscript"/>
        </w:rPr>
        <w:t>rd</w:t>
      </w:r>
      <w:r>
        <w:rPr>
          <w:rFonts w:ascii="Bookman Old Style" w:hAnsi="Bookman Old Style" w:eastAsia="Bookman Old Style" w:cs="Bookman Old Style"/>
        </w:rPr>
        <w:t xml:space="preserve"> quarter of 2021.</w:t>
      </w:r>
    </w:p>
    <w:p>
      <w:pPr>
        <w:jc w:val="both"/>
        <w:rPr>
          <w:rFonts w:ascii="Calibri" w:hAnsi="Calibri" w:cs="Calibri"/>
          <w:b/>
          <w:bCs/>
          <w:color w:val="000000"/>
          <w:sz w:val="22"/>
          <w:szCs w:val="22"/>
        </w:rPr>
      </w:pPr>
    </w:p>
    <w:p>
      <w:pPr>
        <w:jc w:val="both"/>
        <w:rPr>
          <w:rFonts w:ascii="Calibri" w:hAnsi="Calibri" w:cs="Calibri"/>
          <w:b/>
          <w:bCs/>
          <w:color w:val="000000"/>
          <w:sz w:val="22"/>
          <w:szCs w:val="22"/>
        </w:rPr>
      </w:pPr>
    </w:p>
    <w:p>
      <w:pPr>
        <w:jc w:val="both"/>
        <w:rPr>
          <w:rFonts w:ascii="Calibri" w:hAnsi="Calibri" w:cs="Calibri"/>
          <w:b/>
          <w:bCs/>
          <w:color w:val="000000"/>
          <w:sz w:val="22"/>
          <w:szCs w:val="22"/>
        </w:rPr>
      </w:pPr>
    </w:p>
    <w:p>
      <w:pPr>
        <w:jc w:val="both"/>
        <w:rPr>
          <w:rFonts w:ascii="Calibri" w:hAnsi="Calibri" w:cs="Calibri"/>
          <w:b/>
          <w:bCs/>
          <w:color w:val="000000"/>
          <w:sz w:val="22"/>
          <w:szCs w:val="22"/>
        </w:rPr>
      </w:pPr>
    </w:p>
    <w:p>
      <w:pPr>
        <w:jc w:val="both"/>
        <w:rPr>
          <w:rFonts w:ascii="Calibri" w:hAnsi="Calibri" w:cs="Calibri"/>
          <w:b/>
          <w:bCs/>
          <w:color w:val="000000"/>
          <w:sz w:val="22"/>
          <w:szCs w:val="22"/>
        </w:rPr>
      </w:pPr>
    </w:p>
    <w:p>
      <w:pPr>
        <w:jc w:val="both"/>
        <w:rPr>
          <w:rFonts w:ascii="Bookman Old Style" w:hAnsi="Bookman Old Style" w:eastAsia="Bookman Old Style" w:cs="Bookman Old Style"/>
          <w:b/>
          <w:sz w:val="22"/>
          <w:szCs w:val="22"/>
        </w:rPr>
      </w:pPr>
      <w:r>
        <w:rPr>
          <w:rFonts w:ascii="Bookman Old Style" w:hAnsi="Bookman Old Style" w:eastAsia="Bookman Old Style" w:cs="Bookman Old Style"/>
          <w:b/>
        </w:rPr>
        <w:t xml:space="preserve">Table1: Year-on-year growth rates in </w:t>
      </w:r>
      <w:r>
        <w:rPr>
          <w:rFonts w:ascii="Bookman Old Style" w:hAnsi="Bookman Old Style" w:eastAsia="Bookman Old Style" w:cs="Bookman Old Style"/>
          <w:b/>
          <w:bCs/>
        </w:rPr>
        <w:t>3</w:t>
      </w:r>
      <w:r>
        <w:rPr>
          <w:rFonts w:ascii="Bookman Old Style" w:hAnsi="Bookman Old Style" w:eastAsia="Bookman Old Style" w:cs="Bookman Old Style"/>
          <w:b/>
          <w:bCs/>
          <w:vertAlign w:val="superscript"/>
        </w:rPr>
        <w:t>rd</w:t>
      </w:r>
      <w:r>
        <w:rPr>
          <w:rFonts w:ascii="Bookman Old Style" w:hAnsi="Bookman Old Style" w:eastAsia="Bookman Old Style" w:cs="Bookman Old Style"/>
          <w:b/>
          <w:bCs/>
        </w:rPr>
        <w:t xml:space="preserve"> </w:t>
      </w:r>
      <w:r>
        <w:rPr>
          <w:rFonts w:ascii="Bookman Old Style" w:hAnsi="Bookman Old Style" w:eastAsia="Bookman Old Style" w:cs="Bookman Old Style"/>
          <w:b/>
        </w:rPr>
        <w:t>quarter of 2022</w:t>
      </w:r>
    </w:p>
    <w:tbl>
      <w:tblPr>
        <w:tblStyle w:val="18"/>
        <w:tblpPr w:leftFromText="180" w:rightFromText="180" w:vertAnchor="text" w:horzAnchor="margin" w:tblpX="-185" w:tblpY="89"/>
        <w:tblW w:w="10196" w:type="dxa"/>
        <w:tblInd w:w="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1679"/>
        <w:gridCol w:w="3145"/>
        <w:gridCol w:w="1111"/>
        <w:gridCol w:w="1864"/>
        <w:gridCol w:w="2397"/>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118" w:hRule="atLeast"/>
        </w:trPr>
        <w:tc>
          <w:tcPr>
            <w:tcW w:w="1679" w:type="dxa"/>
            <w:tcBorders>
              <w:top w:val="single" w:color="000000" w:sz="4" w:space="0"/>
              <w:bottom w:val="single" w:color="000000" w:sz="4" w:space="0"/>
              <w:right w:val="single" w:color="000000" w:sz="4" w:space="0"/>
            </w:tcBorders>
          </w:tcPr>
          <w:p>
            <w:pPr>
              <w:jc w:val="both"/>
              <w:rPr>
                <w:rFonts w:ascii="Bookman Old Style" w:hAnsi="Bookman Old Style" w:eastAsia="Bookman Old Style" w:cs="Bookman Old Style"/>
                <w:b/>
                <w:color w:val="auto"/>
                <w:sz w:val="22"/>
                <w:szCs w:val="22"/>
              </w:rPr>
            </w:pPr>
            <w:r>
              <w:rPr>
                <w:rFonts w:ascii="Bookman Old Style" w:hAnsi="Bookman Old Style" w:eastAsia="Bookman Old Style" w:cs="Bookman Old Style"/>
                <w:b/>
                <w:color w:val="auto"/>
                <w:sz w:val="22"/>
                <w:szCs w:val="22"/>
              </w:rPr>
              <w:t>Sector</w:t>
            </w:r>
          </w:p>
        </w:tc>
        <w:tc>
          <w:tcPr>
            <w:tcW w:w="3145" w:type="dxa"/>
            <w:tcBorders>
              <w:top w:val="single" w:color="000000" w:sz="4" w:space="0"/>
              <w:left w:val="single" w:color="000000" w:sz="4" w:space="0"/>
              <w:bottom w:val="single" w:color="000000" w:sz="4" w:space="0"/>
            </w:tcBorders>
          </w:tcPr>
          <w:p>
            <w:pPr>
              <w:jc w:val="both"/>
              <w:rPr>
                <w:rFonts w:ascii="Bookman Old Style" w:hAnsi="Bookman Old Style" w:eastAsia="Bookman Old Style" w:cs="Bookman Old Style"/>
                <w:b/>
                <w:color w:val="auto"/>
                <w:sz w:val="22"/>
                <w:szCs w:val="22"/>
              </w:rPr>
            </w:pPr>
            <w:r>
              <w:rPr>
                <w:rFonts w:ascii="Bookman Old Style" w:hAnsi="Bookman Old Style" w:eastAsia="Bookman Old Style" w:cs="Bookman Old Style"/>
                <w:b/>
                <w:color w:val="auto"/>
                <w:sz w:val="22"/>
                <w:szCs w:val="22"/>
              </w:rPr>
              <w:t>Expanding sub-sectors</w:t>
            </w:r>
          </w:p>
        </w:tc>
        <w:tc>
          <w:tcPr>
            <w:tcW w:w="1111" w:type="dxa"/>
            <w:tcBorders>
              <w:top w:val="single" w:color="000000" w:sz="4" w:space="0"/>
              <w:bottom w:val="single" w:color="000000" w:sz="4" w:space="0"/>
              <w:right w:val="single" w:color="000000" w:sz="4" w:space="0"/>
            </w:tcBorders>
          </w:tcPr>
          <w:p>
            <w:pPr>
              <w:jc w:val="both"/>
              <w:rPr>
                <w:rFonts w:ascii="Bookman Old Style" w:hAnsi="Bookman Old Style" w:eastAsia="Bookman Old Style" w:cs="Bookman Old Style"/>
                <w:b/>
                <w:color w:val="auto"/>
                <w:sz w:val="22"/>
                <w:szCs w:val="22"/>
              </w:rPr>
            </w:pPr>
          </w:p>
        </w:tc>
        <w:tc>
          <w:tcPr>
            <w:tcW w:w="4261" w:type="dxa"/>
            <w:gridSpan w:val="2"/>
            <w:tcBorders>
              <w:top w:val="single" w:color="000000" w:sz="4" w:space="0"/>
              <w:left w:val="single" w:color="000000" w:sz="4" w:space="0"/>
              <w:bottom w:val="single" w:color="000000" w:sz="4" w:space="0"/>
            </w:tcBorders>
          </w:tcPr>
          <w:p>
            <w:pPr>
              <w:jc w:val="both"/>
              <w:rPr>
                <w:rFonts w:ascii="Bookman Old Style" w:hAnsi="Bookman Old Style" w:eastAsia="Bookman Old Style" w:cs="Bookman Old Style"/>
                <w:b/>
                <w:color w:val="auto"/>
                <w:sz w:val="22"/>
                <w:szCs w:val="22"/>
              </w:rPr>
            </w:pPr>
            <w:r>
              <w:rPr>
                <w:rFonts w:ascii="Bookman Old Style" w:hAnsi="Bookman Old Style" w:eastAsia="Bookman Old Style" w:cs="Bookman Old Style"/>
                <w:b/>
                <w:color w:val="auto"/>
                <w:sz w:val="22"/>
                <w:szCs w:val="22"/>
              </w:rPr>
              <w:t>Contracting sub-sectors</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1679" w:type="dxa"/>
            <w:tcBorders>
              <w:top w:val="single" w:color="000000" w:sz="4" w:space="0"/>
              <w:bottom w:val="single" w:color="000000" w:sz="4" w:space="0"/>
              <w:right w:val="single" w:color="000000" w:sz="4" w:space="0"/>
            </w:tcBorders>
          </w:tcPr>
          <w:p>
            <w:pPr>
              <w:spacing w:line="276" w:lineRule="auto"/>
              <w:jc w:val="both"/>
              <w:rPr>
                <w:rFonts w:ascii="Bookman Old Style" w:hAnsi="Bookman Old Style" w:eastAsia="Bookman Old Style" w:cs="Bookman Old Style"/>
                <w:color w:val="auto"/>
                <w:sz w:val="22"/>
                <w:szCs w:val="22"/>
              </w:rPr>
            </w:pPr>
          </w:p>
          <w:p>
            <w:pPr>
              <w:spacing w:line="276" w:lineRule="auto"/>
              <w:jc w:val="cente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Agriculture</w:t>
            </w:r>
          </w:p>
          <w:p>
            <w:pPr>
              <w:spacing w:line="276" w:lineRule="auto"/>
              <w:jc w:val="cente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(4.6%)</w:t>
            </w:r>
          </w:p>
        </w:tc>
        <w:tc>
          <w:tcPr>
            <w:tcW w:w="3145" w:type="dxa"/>
            <w:tcBorders>
              <w:top w:val="single" w:color="000000" w:sz="4" w:space="0"/>
              <w:left w:val="single" w:color="000000" w:sz="4" w:space="0"/>
              <w:bottom w:val="single" w:color="000000" w:sz="4" w:space="0"/>
            </w:tcBorders>
          </w:tcPr>
          <w:p>
            <w:pPr>
              <w:spacing w:line="360" w:lineRule="auto"/>
              <w:jc w:val="both"/>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Fishing</w:t>
            </w:r>
          </w:p>
          <w:p>
            <w:pPr>
              <w:spacing w:line="360" w:lineRule="auto"/>
              <w:jc w:val="both"/>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 xml:space="preserve">Livestock </w:t>
            </w:r>
          </w:p>
          <w:p>
            <w:pPr>
              <w:spacing w:line="360" w:lineRule="auto"/>
              <w:jc w:val="both"/>
              <w:rPr>
                <w:rFonts w:ascii="Bookman Old Style" w:hAnsi="Bookman Old Style" w:eastAsia="Bookman Old Style" w:cs="Bookman Old Style"/>
                <w:color w:val="auto"/>
                <w:sz w:val="22"/>
                <w:szCs w:val="22"/>
              </w:rPr>
            </w:pPr>
            <w:r>
              <w:rPr>
                <w:rFonts w:ascii="Bookman Old Style" w:hAnsi="Bookman Old Style" w:eastAsia="Bookman Old Style" w:cs="Calibri"/>
                <w:color w:val="auto"/>
                <w:sz w:val="22"/>
                <w:szCs w:val="22"/>
              </w:rPr>
              <w:t xml:space="preserve">Forestry &amp; Logging    </w:t>
            </w:r>
          </w:p>
          <w:p>
            <w:pPr>
              <w:spacing w:line="360" w:lineRule="auto"/>
              <w:jc w:val="both"/>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Crops and cocoa</w:t>
            </w:r>
          </w:p>
        </w:tc>
        <w:tc>
          <w:tcPr>
            <w:tcW w:w="1111" w:type="dxa"/>
            <w:tcBorders>
              <w:top w:val="single" w:color="000000" w:sz="4" w:space="0"/>
              <w:bottom w:val="single" w:color="000000" w:sz="4" w:space="0"/>
              <w:right w:val="single" w:color="000000" w:sz="4" w:space="0"/>
            </w:tcBorders>
          </w:tcPr>
          <w:p>
            <w:pPr>
              <w:spacing w:line="360" w:lineRule="auto"/>
              <w:jc w:val="both"/>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10.0%</w:t>
            </w:r>
          </w:p>
          <w:p>
            <w:pPr>
              <w:spacing w:line="360" w:lineRule="auto"/>
              <w:jc w:val="both"/>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5.8%</w:t>
            </w:r>
          </w:p>
          <w:p>
            <w:pPr>
              <w:spacing w:line="360" w:lineRule="auto"/>
              <w:jc w:val="both"/>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4.7%</w:t>
            </w:r>
          </w:p>
          <w:p>
            <w:pPr>
              <w:spacing w:line="360" w:lineRule="auto"/>
              <w:jc w:val="both"/>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4.0%</w:t>
            </w:r>
          </w:p>
        </w:tc>
        <w:tc>
          <w:tcPr>
            <w:tcW w:w="1864" w:type="dxa"/>
            <w:tcBorders>
              <w:top w:val="single" w:color="000000" w:sz="4" w:space="0"/>
              <w:left w:val="single" w:color="000000" w:sz="4" w:space="0"/>
              <w:bottom w:val="single" w:color="000000" w:sz="4" w:space="0"/>
            </w:tcBorders>
          </w:tcPr>
          <w:p>
            <w:pPr>
              <w:spacing w:line="276" w:lineRule="auto"/>
              <w:jc w:val="both"/>
              <w:rPr>
                <w:rFonts w:ascii="Bookman Old Style" w:hAnsi="Bookman Old Style" w:eastAsia="Bookman Old Style" w:cs="Calibri"/>
                <w:color w:val="auto"/>
                <w:sz w:val="22"/>
                <w:szCs w:val="22"/>
              </w:rPr>
            </w:pPr>
          </w:p>
          <w:p>
            <w:pPr>
              <w:spacing w:line="276" w:lineRule="auto"/>
              <w:jc w:val="both"/>
              <w:rPr>
                <w:rFonts w:ascii="Bookman Old Style" w:hAnsi="Bookman Old Style" w:eastAsia="Bookman Old Style" w:cs="Calibri"/>
                <w:color w:val="auto"/>
                <w:sz w:val="22"/>
                <w:szCs w:val="22"/>
              </w:rPr>
            </w:pPr>
          </w:p>
        </w:tc>
        <w:tc>
          <w:tcPr>
            <w:tcW w:w="2396" w:type="dxa"/>
            <w:tcBorders>
              <w:top w:val="single" w:color="000000" w:sz="4" w:space="0"/>
              <w:bottom w:val="single" w:color="000000" w:sz="4" w:space="0"/>
            </w:tcBorders>
          </w:tcPr>
          <w:p>
            <w:pPr>
              <w:spacing w:line="276" w:lineRule="auto"/>
              <w:jc w:val="both"/>
              <w:rPr>
                <w:rFonts w:ascii="Bookman Old Style" w:hAnsi="Bookman Old Style" w:eastAsia="Bookman Old Style" w:cs="Calibri"/>
                <w:color w:val="auto"/>
                <w:sz w:val="22"/>
                <w:szCs w:val="22"/>
              </w:rPr>
            </w:pPr>
            <w:r>
              <w:rPr>
                <w:rFonts w:ascii="Bookman Old Style" w:hAnsi="Bookman Old Style" w:eastAsia="Bookman Old Style" w:cs="Calibri"/>
                <w:color w:val="auto"/>
                <w:sz w:val="22"/>
                <w:szCs w:val="22"/>
              </w:rPr>
              <w:t xml:space="preserve">  </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1408" w:hRule="atLeast"/>
        </w:trPr>
        <w:tc>
          <w:tcPr>
            <w:tcW w:w="1679" w:type="dxa"/>
            <w:tcBorders>
              <w:top w:val="single" w:color="000000" w:sz="4" w:space="0"/>
              <w:bottom w:val="single" w:color="000000" w:sz="4" w:space="0"/>
              <w:right w:val="single" w:color="000000" w:sz="4" w:space="0"/>
            </w:tcBorders>
          </w:tcPr>
          <w:p>
            <w:pPr>
              <w:jc w:val="both"/>
              <w:rPr>
                <w:rFonts w:ascii="Bookman Old Style" w:hAnsi="Bookman Old Style" w:eastAsia="Bookman Old Style" w:cs="Bookman Old Style"/>
                <w:color w:val="auto"/>
                <w:sz w:val="22"/>
                <w:szCs w:val="22"/>
              </w:rPr>
            </w:pPr>
          </w:p>
          <w:p>
            <w:pPr>
              <w:jc w:val="both"/>
              <w:rPr>
                <w:rFonts w:ascii="Bookman Old Style" w:hAnsi="Bookman Old Style" w:eastAsia="Bookman Old Style" w:cs="Bookman Old Style"/>
                <w:color w:val="auto"/>
                <w:sz w:val="22"/>
                <w:szCs w:val="22"/>
              </w:rPr>
            </w:pPr>
          </w:p>
          <w:p>
            <w:pPr>
              <w:jc w:val="both"/>
              <w:rPr>
                <w:rFonts w:ascii="Bookman Old Style" w:hAnsi="Bookman Old Style" w:eastAsia="Bookman Old Style" w:cs="Bookman Old Style"/>
                <w:color w:val="auto"/>
                <w:sz w:val="22"/>
                <w:szCs w:val="22"/>
              </w:rPr>
            </w:pPr>
          </w:p>
          <w:p>
            <w:pPr>
              <w:jc w:val="cente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 xml:space="preserve">Industry </w:t>
            </w:r>
          </w:p>
          <w:p>
            <w:pPr>
              <w:jc w:val="cente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(0.9%)</w:t>
            </w: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p>
        </w:tc>
        <w:tc>
          <w:tcPr>
            <w:tcW w:w="3145" w:type="dxa"/>
            <w:tcBorders>
              <w:top w:val="single" w:color="000000" w:sz="4" w:space="0"/>
              <w:left w:val="single" w:color="000000" w:sz="4" w:space="0"/>
              <w:bottom w:val="single" w:color="000000" w:sz="4" w:space="0"/>
            </w:tcBorders>
          </w:tcPr>
          <w:p>
            <w:pP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Mining &amp; Quarrying</w:t>
            </w:r>
          </w:p>
          <w:p>
            <w:pPr>
              <w:rPr>
                <w:rFonts w:ascii="Bookman Old Style" w:hAnsi="Bookman Old Style" w:eastAsia="Bookman Old Style" w:cs="Bookman Old Style"/>
                <w:color w:val="auto"/>
                <w:sz w:val="22"/>
                <w:szCs w:val="22"/>
              </w:rPr>
            </w:pPr>
          </w:p>
          <w:p>
            <w:pPr>
              <w:tabs>
                <w:tab w:val="right" w:pos="3691"/>
              </w:tabs>
              <w:jc w:val="both"/>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ab/>
            </w:r>
            <w:r>
              <w:rPr>
                <w:rFonts w:ascii="Bookman Old Style" w:hAnsi="Bookman Old Style" w:eastAsia="Bookman Old Style" w:cs="Bookman Old Style"/>
                <w:color w:val="auto"/>
                <w:sz w:val="22"/>
                <w:szCs w:val="22"/>
              </w:rPr>
              <w:t xml:space="preserve">       </w:t>
            </w:r>
          </w:p>
        </w:tc>
        <w:tc>
          <w:tcPr>
            <w:tcW w:w="1111" w:type="dxa"/>
            <w:tcBorders>
              <w:top w:val="single" w:color="000000" w:sz="4" w:space="0"/>
              <w:bottom w:val="single" w:color="000000" w:sz="4" w:space="0"/>
              <w:right w:val="single" w:color="000000" w:sz="4" w:space="0"/>
            </w:tcBorders>
          </w:tcPr>
          <w:p>
            <w:pPr>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14.9%</w:t>
            </w:r>
          </w:p>
          <w:p>
            <w:pPr>
              <w:rPr>
                <w:rFonts w:ascii="Bookman Old Style" w:hAnsi="Bookman Old Style" w:eastAsia="Bookman Old Style" w:cs="Bookman Old Style"/>
                <w:color w:val="auto"/>
                <w:sz w:val="22"/>
                <w:szCs w:val="22"/>
              </w:rPr>
            </w:pPr>
          </w:p>
          <w:p>
            <w:pPr>
              <w:rPr>
                <w:rFonts w:ascii="Bookman Old Style" w:hAnsi="Bookman Old Style" w:eastAsia="Bookman Old Style" w:cs="Bookman Old Style"/>
                <w:color w:val="000000"/>
                <w:sz w:val="22"/>
                <w:szCs w:val="22"/>
              </w:rPr>
            </w:pPr>
          </w:p>
        </w:tc>
        <w:tc>
          <w:tcPr>
            <w:tcW w:w="1864" w:type="dxa"/>
            <w:tcBorders>
              <w:top w:val="single" w:color="000000" w:sz="4" w:space="0"/>
              <w:left w:val="single" w:color="000000" w:sz="4" w:space="0"/>
              <w:bottom w:val="single" w:color="000000" w:sz="4" w:space="0"/>
            </w:tcBorders>
          </w:tcPr>
          <w:p>
            <w:pP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Manufacturing</w:t>
            </w:r>
          </w:p>
          <w:p>
            <w:pPr>
              <w:rPr>
                <w:rFonts w:ascii="Bookman Old Style" w:hAnsi="Bookman Old Style" w:eastAsia="Bookman Old Style" w:cs="Bookman Old Style"/>
                <w:color w:val="auto"/>
                <w:sz w:val="22"/>
                <w:szCs w:val="22"/>
              </w:rPr>
            </w:pPr>
          </w:p>
          <w:p>
            <w:pP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Construction</w:t>
            </w:r>
          </w:p>
          <w:p>
            <w:pPr>
              <w:rPr>
                <w:rFonts w:ascii="Bookman Old Style" w:hAnsi="Bookman Old Style" w:eastAsia="Bookman Old Style" w:cs="Bookman Old Style"/>
                <w:color w:val="auto"/>
                <w:sz w:val="22"/>
                <w:szCs w:val="22"/>
              </w:rPr>
            </w:pPr>
          </w:p>
          <w:p>
            <w:pP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Electricity</w:t>
            </w:r>
          </w:p>
          <w:p>
            <w:pPr>
              <w:rPr>
                <w:rFonts w:ascii="Bookman Old Style" w:hAnsi="Bookman Old Style" w:eastAsia="Bookman Old Style" w:cs="Bookman Old Style"/>
                <w:color w:val="auto"/>
                <w:sz w:val="22"/>
                <w:szCs w:val="22"/>
              </w:rPr>
            </w:pPr>
          </w:p>
          <w:p>
            <w:pP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 xml:space="preserve">Water Supply, Sewerage, Waste Management &amp; </w:t>
            </w:r>
          </w:p>
          <w:p>
            <w:pP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Remediation Activities</w:t>
            </w:r>
          </w:p>
        </w:tc>
        <w:tc>
          <w:tcPr>
            <w:tcW w:w="2396" w:type="dxa"/>
            <w:tcBorders>
              <w:top w:val="single" w:color="000000" w:sz="4" w:space="0"/>
              <w:bottom w:val="single" w:color="000000" w:sz="4" w:space="0"/>
            </w:tcBorders>
          </w:tcPr>
          <w:p>
            <w:pPr>
              <w:tabs>
                <w:tab w:val="right" w:pos="2167"/>
              </w:tabs>
              <w:jc w:val="both"/>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 xml:space="preserve">           </w:t>
            </w:r>
            <w:r>
              <w:rPr>
                <w:rFonts w:ascii="Bookman Old Style" w:hAnsi="Bookman Old Style" w:eastAsia="Bookman Old Style" w:cs="Bookman Old Style"/>
                <w:color w:val="auto"/>
                <w:sz w:val="22"/>
                <w:szCs w:val="22"/>
              </w:rPr>
              <w:tab/>
            </w:r>
            <w:r>
              <w:rPr>
                <w:rFonts w:ascii="Bookman Old Style" w:hAnsi="Bookman Old Style" w:eastAsia="Bookman Old Style" w:cs="Bookman Old Style"/>
                <w:color w:val="auto"/>
                <w:sz w:val="22"/>
                <w:szCs w:val="22"/>
              </w:rPr>
              <w:t>-7.4%</w:t>
            </w:r>
          </w:p>
          <w:p>
            <w:pPr>
              <w:tabs>
                <w:tab w:val="right" w:pos="2167"/>
              </w:tabs>
              <w:jc w:val="both"/>
              <w:rPr>
                <w:rFonts w:ascii="Bookman Old Style" w:hAnsi="Bookman Old Style" w:eastAsia="Bookman Old Style" w:cs="Bookman Old Style"/>
                <w:color w:val="auto"/>
                <w:sz w:val="22"/>
                <w:szCs w:val="22"/>
              </w:rPr>
            </w:pPr>
          </w:p>
          <w:p>
            <w:pPr>
              <w:tabs>
                <w:tab w:val="right" w:pos="2167"/>
              </w:tabs>
              <w:jc w:val="both"/>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 xml:space="preserve">              </w:t>
            </w:r>
            <w:r>
              <w:rPr>
                <w:rFonts w:ascii="Bookman Old Style" w:hAnsi="Bookman Old Style" w:eastAsia="Bookman Old Style" w:cs="Bookman Old Style"/>
                <w:color w:val="000000"/>
                <w:sz w:val="22"/>
                <w:szCs w:val="22"/>
              </w:rPr>
              <w:tab/>
            </w:r>
            <w:r>
              <w:rPr>
                <w:rFonts w:ascii="Bookman Old Style" w:hAnsi="Bookman Old Style" w:eastAsia="Bookman Old Style" w:cs="Bookman Old Style"/>
                <w:color w:val="000000"/>
                <w:sz w:val="22"/>
                <w:szCs w:val="22"/>
              </w:rPr>
              <w:t>-7.0%</w:t>
            </w:r>
          </w:p>
          <w:p>
            <w:pPr>
              <w:tabs>
                <w:tab w:val="right" w:pos="2167"/>
              </w:tabs>
              <w:jc w:val="both"/>
              <w:rPr>
                <w:rFonts w:ascii="Bookman Old Style" w:hAnsi="Bookman Old Style" w:eastAsia="Bookman Old Style" w:cs="Bookman Old Style"/>
                <w:color w:val="000000"/>
                <w:sz w:val="22"/>
                <w:szCs w:val="22"/>
              </w:rPr>
            </w:pPr>
          </w:p>
          <w:p>
            <w:pPr>
              <w:jc w:val="right"/>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-3.9%</w:t>
            </w:r>
          </w:p>
          <w:p>
            <w:pPr>
              <w:jc w:val="right"/>
              <w:rPr>
                <w:rFonts w:ascii="Bookman Old Style" w:hAnsi="Bookman Old Style" w:eastAsia="Bookman Old Style" w:cs="Bookman Old Style"/>
                <w:color w:val="000000"/>
                <w:sz w:val="22"/>
                <w:szCs w:val="22"/>
              </w:rPr>
            </w:pPr>
          </w:p>
          <w:p>
            <w:pPr>
              <w:jc w:val="both"/>
              <w:rPr>
                <w:rFonts w:ascii="Bookman Old Style" w:hAnsi="Bookman Old Style" w:eastAsia="Bookman Old Style" w:cs="Bookman Old Style"/>
                <w:color w:val="000000"/>
                <w:sz w:val="22"/>
                <w:szCs w:val="22"/>
              </w:rPr>
            </w:pPr>
          </w:p>
          <w:p>
            <w:pPr>
              <w:ind w:left="165" w:hanging="165"/>
              <w:jc w:val="both"/>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 xml:space="preserve">          </w:t>
            </w:r>
          </w:p>
          <w:p>
            <w:pPr>
              <w:ind w:left="165" w:hanging="165"/>
              <w:jc w:val="both"/>
              <w:rPr>
                <w:rFonts w:ascii="Bookman Old Style" w:hAnsi="Bookman Old Style" w:eastAsia="Bookman Old Style" w:cs="Bookman Old Style"/>
                <w:color w:val="000000"/>
                <w:sz w:val="22"/>
                <w:szCs w:val="22"/>
              </w:rPr>
            </w:pPr>
          </w:p>
          <w:p>
            <w:pPr>
              <w:ind w:left="165" w:hanging="165"/>
              <w:jc w:val="both"/>
              <w:rPr>
                <w:rFonts w:ascii="Bookman Old Style" w:hAnsi="Bookman Old Style" w:eastAsia="Bookman Old Style" w:cs="Bookman Old Style"/>
                <w:color w:val="000000"/>
                <w:sz w:val="22"/>
                <w:szCs w:val="22"/>
              </w:rPr>
            </w:pPr>
          </w:p>
          <w:p>
            <w:pPr>
              <w:ind w:left="165" w:hanging="165"/>
              <w:jc w:val="both"/>
              <w:rPr>
                <w:rFonts w:ascii="Bookman Old Style" w:hAnsi="Bookman Old Style" w:eastAsia="Bookman Old Style" w:cs="Bookman Old Style"/>
                <w:color w:val="000000"/>
                <w:sz w:val="22"/>
                <w:szCs w:val="22"/>
              </w:rPr>
            </w:pPr>
          </w:p>
          <w:p>
            <w:pPr>
              <w:jc w:val="both"/>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000000"/>
                <w:sz w:val="22"/>
                <w:szCs w:val="22"/>
              </w:rPr>
              <w:t xml:space="preserve">              </w:t>
            </w:r>
            <w:r>
              <w:rPr>
                <w:rFonts w:ascii="Bookman Old Style" w:hAnsi="Bookman Old Style" w:eastAsia="Bookman Old Style" w:cs="Bookman Old Style"/>
                <w:color w:val="000000"/>
                <w:sz w:val="22"/>
                <w:szCs w:val="22"/>
              </w:rPr>
              <w:tab/>
            </w:r>
            <w:r>
              <w:rPr>
                <w:rFonts w:ascii="Bookman Old Style" w:hAnsi="Bookman Old Style" w:eastAsia="Bookman Old Style" w:cs="Bookman Old Style"/>
                <w:color w:val="000000"/>
                <w:sz w:val="22"/>
                <w:szCs w:val="22"/>
              </w:rPr>
              <w:t>-3.0%</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253" w:hRule="atLeast"/>
        </w:trPr>
        <w:tc>
          <w:tcPr>
            <w:tcW w:w="1679" w:type="dxa"/>
            <w:tcBorders>
              <w:top w:val="single" w:color="000000" w:sz="4" w:space="0"/>
              <w:bottom w:val="single" w:color="000000" w:sz="4" w:space="0"/>
              <w:right w:val="single" w:color="000000" w:sz="4" w:space="0"/>
            </w:tcBorders>
          </w:tcPr>
          <w:p>
            <w:pPr>
              <w:jc w:val="both"/>
              <w:rPr>
                <w:rFonts w:ascii="Bookman Old Style" w:hAnsi="Bookman Old Style" w:eastAsia="Bookman Old Style" w:cs="Bookman Old Style"/>
                <w:color w:val="auto"/>
                <w:sz w:val="22"/>
                <w:szCs w:val="22"/>
              </w:rPr>
            </w:pPr>
          </w:p>
          <w:p>
            <w:pPr>
              <w:jc w:val="both"/>
              <w:rPr>
                <w:rFonts w:ascii="Bookman Old Style" w:hAnsi="Bookman Old Style" w:eastAsia="Bookman Old Style" w:cs="Bookman Old Style"/>
                <w:color w:val="auto"/>
                <w:sz w:val="22"/>
                <w:szCs w:val="22"/>
              </w:rPr>
            </w:pPr>
          </w:p>
          <w:p>
            <w:pPr>
              <w:jc w:val="both"/>
              <w:rPr>
                <w:rFonts w:ascii="Bookman Old Style" w:hAnsi="Bookman Old Style" w:eastAsia="Bookman Old Style" w:cs="Bookman Old Style"/>
                <w:color w:val="auto"/>
                <w:sz w:val="22"/>
                <w:szCs w:val="22"/>
              </w:rPr>
            </w:pPr>
          </w:p>
          <w:p>
            <w:pPr>
              <w:jc w:val="both"/>
              <w:rPr>
                <w:rFonts w:ascii="Bookman Old Style" w:hAnsi="Bookman Old Style" w:eastAsia="Bookman Old Style" w:cs="Bookman Old Style"/>
                <w:color w:val="auto"/>
                <w:sz w:val="22"/>
                <w:szCs w:val="22"/>
              </w:rPr>
            </w:pPr>
          </w:p>
          <w:p>
            <w:pPr>
              <w:jc w:val="both"/>
              <w:rPr>
                <w:rFonts w:ascii="Bookman Old Style" w:hAnsi="Bookman Old Style" w:eastAsia="Bookman Old Style" w:cs="Bookman Old Style"/>
                <w:color w:val="auto"/>
                <w:sz w:val="22"/>
                <w:szCs w:val="22"/>
              </w:rPr>
            </w:pPr>
          </w:p>
          <w:p>
            <w:pPr>
              <w:jc w:val="center"/>
              <w:rPr>
                <w:rFonts w:ascii="Bookman Old Style" w:hAnsi="Bookman Old Style" w:eastAsia="Bookman Old Style" w:cs="Bookman Old Style"/>
                <w:color w:val="auto"/>
                <w:sz w:val="22"/>
                <w:szCs w:val="22"/>
              </w:rPr>
            </w:pPr>
          </w:p>
          <w:p>
            <w:pPr>
              <w:jc w:val="cente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 xml:space="preserve">Services </w:t>
            </w:r>
          </w:p>
          <w:p>
            <w:pPr>
              <w:jc w:val="cente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(3.9%)</w:t>
            </w: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auto"/>
                <w:sz w:val="22"/>
                <w:szCs w:val="22"/>
              </w:rPr>
            </w:pPr>
          </w:p>
          <w:p>
            <w:pPr>
              <w:tabs>
                <w:tab w:val="left" w:pos="1450"/>
              </w:tabs>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ab/>
            </w:r>
          </w:p>
        </w:tc>
        <w:tc>
          <w:tcPr>
            <w:tcW w:w="3145" w:type="dxa"/>
            <w:tcBorders>
              <w:top w:val="single" w:color="000000" w:sz="4" w:space="0"/>
              <w:left w:val="single" w:color="000000" w:sz="4" w:space="0"/>
              <w:bottom w:val="single" w:color="000000" w:sz="4" w:space="0"/>
            </w:tcBorders>
          </w:tcPr>
          <w:p>
            <w:pPr>
              <w:jc w:val="both"/>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 xml:space="preserve">Information &amp;  </w:t>
            </w:r>
          </w:p>
          <w:p>
            <w:pPr>
              <w:jc w:val="both"/>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Communication</w:t>
            </w:r>
          </w:p>
          <w:p>
            <w:pPr>
              <w:jc w:val="both"/>
              <w:rPr>
                <w:rFonts w:ascii="Bookman Old Style" w:hAnsi="Bookman Old Style" w:eastAsia="Bookman Old Style" w:cs="Bookman Old Style"/>
                <w:color w:val="auto"/>
                <w:sz w:val="22"/>
                <w:szCs w:val="22"/>
              </w:rPr>
            </w:pPr>
          </w:p>
          <w:p>
            <w:pPr>
              <w:jc w:val="both"/>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 xml:space="preserve">Education </w:t>
            </w:r>
          </w:p>
          <w:p>
            <w:pPr>
              <w:rPr>
                <w:rFonts w:ascii="Bookman Old Style" w:hAnsi="Bookman Old Style" w:eastAsia="Bookman Old Style" w:cs="Bookman Old Style"/>
                <w:color w:val="auto"/>
                <w:sz w:val="22"/>
                <w:szCs w:val="22"/>
              </w:rPr>
            </w:pPr>
          </w:p>
          <w:p>
            <w:pP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Health &amp; Social Work</w:t>
            </w:r>
          </w:p>
          <w:p>
            <w:pPr>
              <w:jc w:val="both"/>
              <w:rPr>
                <w:rFonts w:ascii="Bookman Old Style" w:hAnsi="Bookman Old Style" w:eastAsia="Bookman Old Style" w:cs="Bookman Old Style"/>
                <w:color w:val="auto"/>
                <w:sz w:val="22"/>
                <w:szCs w:val="22"/>
              </w:rPr>
            </w:pPr>
          </w:p>
          <w:p>
            <w:pP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Transport &amp; Storage</w:t>
            </w:r>
          </w:p>
          <w:p>
            <w:pPr>
              <w:jc w:val="both"/>
              <w:rPr>
                <w:rFonts w:ascii="Bookman Old Style" w:hAnsi="Bookman Old Style" w:eastAsia="Bookman Old Style" w:cs="Bookman Old Style"/>
                <w:color w:val="auto"/>
                <w:sz w:val="22"/>
                <w:szCs w:val="22"/>
              </w:rPr>
            </w:pPr>
          </w:p>
          <w:p>
            <w:pPr>
              <w:jc w:val="both"/>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Finance &amp; Insurance</w:t>
            </w:r>
          </w:p>
          <w:p>
            <w:pPr>
              <w:jc w:val="both"/>
              <w:rPr>
                <w:rFonts w:ascii="Bookman Old Style" w:hAnsi="Bookman Old Style" w:eastAsia="Bookman Old Style" w:cs="Bookman Old Style"/>
                <w:color w:val="auto"/>
                <w:sz w:val="22"/>
                <w:szCs w:val="22"/>
              </w:rPr>
            </w:pPr>
          </w:p>
          <w:p>
            <w:pPr>
              <w:jc w:val="both"/>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Public Administration &amp;</w:t>
            </w:r>
          </w:p>
          <w:p>
            <w:pPr>
              <w:jc w:val="both"/>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Defence, Social Security</w:t>
            </w:r>
          </w:p>
          <w:p>
            <w:pPr>
              <w:jc w:val="both"/>
              <w:rPr>
                <w:rFonts w:ascii="Bookman Old Style" w:hAnsi="Bookman Old Style" w:eastAsia="Bookman Old Style" w:cs="Bookman Old Style"/>
                <w:color w:val="auto"/>
                <w:sz w:val="22"/>
                <w:szCs w:val="22"/>
              </w:rPr>
            </w:pPr>
          </w:p>
          <w:p>
            <w:pPr>
              <w:jc w:val="both"/>
              <w:rPr>
                <w:rFonts w:ascii="Bookman Old Style" w:hAnsi="Bookman Old Style" w:eastAsia="Bookman Old Style" w:cs="Bookman Old Style"/>
                <w:color w:val="auto"/>
                <w:sz w:val="22"/>
                <w:szCs w:val="22"/>
              </w:rPr>
            </w:pPr>
          </w:p>
          <w:p>
            <w:pPr>
              <w:rPr>
                <w:rFonts w:ascii="Bookman Old Style" w:hAnsi="Bookman Old Style" w:eastAsia="Bookman Old Style" w:cs="Bookman Old Style"/>
                <w:color w:val="auto"/>
                <w:sz w:val="22"/>
                <w:szCs w:val="22"/>
              </w:rPr>
            </w:pPr>
          </w:p>
        </w:tc>
        <w:tc>
          <w:tcPr>
            <w:tcW w:w="1111" w:type="dxa"/>
            <w:tcBorders>
              <w:top w:val="single" w:color="000000" w:sz="4" w:space="0"/>
              <w:bottom w:val="single" w:color="000000" w:sz="4" w:space="0"/>
              <w:right w:val="single" w:color="000000" w:sz="4" w:space="0"/>
            </w:tcBorders>
          </w:tcPr>
          <w:p>
            <w:pPr>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 xml:space="preserve">  </w:t>
            </w:r>
          </w:p>
          <w:p>
            <w:pPr>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 xml:space="preserve">  18.4%</w:t>
            </w: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 xml:space="preserve">  10.2%</w:t>
            </w: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 xml:space="preserve">   8.1%</w:t>
            </w: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 xml:space="preserve">   6.4%</w:t>
            </w:r>
          </w:p>
          <w:p>
            <w:pPr>
              <w:rPr>
                <w:rFonts w:ascii="Bookman Old Style" w:hAnsi="Bookman Old Style" w:eastAsia="Bookman Old Style" w:cs="Bookman Old Style"/>
                <w:color w:val="auto"/>
                <w:sz w:val="22"/>
                <w:szCs w:val="22"/>
              </w:rPr>
            </w:pPr>
          </w:p>
          <w:p>
            <w:pPr>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auto"/>
                <w:sz w:val="22"/>
                <w:szCs w:val="22"/>
              </w:rPr>
              <w:t xml:space="preserve">   5.1%</w:t>
            </w: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 xml:space="preserve">   </w:t>
            </w:r>
          </w:p>
          <w:p>
            <w:pPr>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 xml:space="preserve">   4.3%</w:t>
            </w: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p>
        </w:tc>
        <w:tc>
          <w:tcPr>
            <w:tcW w:w="1864" w:type="dxa"/>
            <w:tcBorders>
              <w:top w:val="single" w:color="000000" w:sz="4" w:space="0"/>
              <w:left w:val="single" w:color="000000" w:sz="4" w:space="0"/>
              <w:bottom w:val="single" w:color="000000" w:sz="4" w:space="0"/>
            </w:tcBorders>
          </w:tcPr>
          <w:p>
            <w:pP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 xml:space="preserve">Professional, </w:t>
            </w:r>
          </w:p>
          <w:p>
            <w:pPr>
              <w:ind w:right="-96"/>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 xml:space="preserve">Administrative &amp; Support                        </w:t>
            </w:r>
          </w:p>
          <w:p>
            <w:pPr>
              <w:jc w:val="both"/>
              <w:rPr>
                <w:rFonts w:ascii="Bookman Old Style" w:hAnsi="Bookman Old Style" w:eastAsia="Bookman Old Style" w:cs="Bookman Old Style"/>
                <w:color w:val="auto"/>
                <w:sz w:val="22"/>
                <w:szCs w:val="22"/>
              </w:rPr>
            </w:pPr>
          </w:p>
          <w:p>
            <w:pPr>
              <w:jc w:val="both"/>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 xml:space="preserve">Other Personal Service </w:t>
            </w:r>
          </w:p>
          <w:p>
            <w:pPr>
              <w:jc w:val="both"/>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 xml:space="preserve">Activities                  </w:t>
            </w:r>
          </w:p>
          <w:p>
            <w:pPr>
              <w:rPr>
                <w:rFonts w:ascii="Bookman Old Style" w:hAnsi="Bookman Old Style" w:eastAsia="Bookman Old Style" w:cs="Bookman Old Style"/>
                <w:color w:val="auto"/>
                <w:sz w:val="22"/>
                <w:szCs w:val="22"/>
              </w:rPr>
            </w:pPr>
          </w:p>
          <w:p>
            <w:pP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Real Estate</w:t>
            </w:r>
          </w:p>
          <w:p>
            <w:pPr>
              <w:rPr>
                <w:rFonts w:ascii="Bookman Old Style" w:hAnsi="Bookman Old Style" w:eastAsia="Bookman Old Style" w:cs="Bookman Old Style"/>
                <w:color w:val="auto"/>
                <w:sz w:val="22"/>
                <w:szCs w:val="22"/>
              </w:rPr>
            </w:pPr>
          </w:p>
          <w:p>
            <w:pP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 xml:space="preserve">Hotel &amp; Restaurants   </w:t>
            </w:r>
          </w:p>
          <w:p>
            <w:pPr>
              <w:jc w:val="both"/>
              <w:rPr>
                <w:rFonts w:ascii="Bookman Old Style" w:hAnsi="Bookman Old Style" w:eastAsia="Bookman Old Style" w:cs="Bookman Old Style"/>
                <w:color w:val="auto"/>
                <w:sz w:val="22"/>
                <w:szCs w:val="22"/>
              </w:rPr>
            </w:pPr>
          </w:p>
          <w:p>
            <w:pP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 xml:space="preserve">Trade, Repair of Vehicle, Household Goods  </w:t>
            </w:r>
          </w:p>
        </w:tc>
        <w:tc>
          <w:tcPr>
            <w:tcW w:w="2396" w:type="dxa"/>
            <w:tcBorders>
              <w:top w:val="single" w:color="000000" w:sz="4" w:space="0"/>
              <w:bottom w:val="single" w:color="000000" w:sz="4" w:space="0"/>
            </w:tcBorders>
          </w:tcPr>
          <w:p>
            <w:pPr>
              <w:jc w:val="both"/>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 xml:space="preserve">   </w:t>
            </w:r>
          </w:p>
          <w:p>
            <w:pPr>
              <w:jc w:val="both"/>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 xml:space="preserve">            </w:t>
            </w:r>
          </w:p>
          <w:p>
            <w:pPr>
              <w:jc w:val="both"/>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 xml:space="preserve">                   -12.1%</w:t>
            </w:r>
          </w:p>
          <w:p>
            <w:pPr>
              <w:jc w:val="both"/>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 xml:space="preserve">  </w:t>
            </w:r>
          </w:p>
          <w:p>
            <w:pPr>
              <w:jc w:val="both"/>
              <w:rPr>
                <w:rFonts w:ascii="Bookman Old Style" w:hAnsi="Bookman Old Style" w:eastAsia="Bookman Old Style" w:cs="Bookman Old Style"/>
                <w:color w:val="auto"/>
                <w:sz w:val="22"/>
                <w:szCs w:val="22"/>
              </w:rPr>
            </w:pPr>
          </w:p>
          <w:p>
            <w:pPr>
              <w:jc w:val="both"/>
              <w:rPr>
                <w:rFonts w:ascii="Bookman Old Style" w:hAnsi="Bookman Old Style" w:eastAsia="Bookman Old Style" w:cs="Bookman Old Style"/>
                <w:color w:val="auto"/>
                <w:sz w:val="22"/>
                <w:szCs w:val="22"/>
              </w:rPr>
            </w:pPr>
          </w:p>
          <w:p>
            <w:pPr>
              <w:tabs>
                <w:tab w:val="right" w:pos="2167"/>
              </w:tabs>
              <w:jc w:val="both"/>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 xml:space="preserve"> </w:t>
            </w:r>
            <w:r>
              <w:rPr>
                <w:rFonts w:ascii="Bookman Old Style" w:hAnsi="Bookman Old Style" w:eastAsia="Bookman Old Style" w:cs="Bookman Old Style"/>
                <w:color w:val="auto"/>
                <w:sz w:val="22"/>
                <w:szCs w:val="22"/>
              </w:rPr>
              <w:tab/>
            </w:r>
            <w:r>
              <w:rPr>
                <w:rFonts w:ascii="Bookman Old Style" w:hAnsi="Bookman Old Style" w:eastAsia="Bookman Old Style" w:cs="Bookman Old Style"/>
                <w:color w:val="auto"/>
                <w:sz w:val="22"/>
                <w:szCs w:val="22"/>
              </w:rPr>
              <w:t>-8.6%</w:t>
            </w:r>
          </w:p>
          <w:p>
            <w:pPr>
              <w:jc w:val="both"/>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 xml:space="preserve">  </w:t>
            </w:r>
          </w:p>
          <w:p>
            <w:pPr>
              <w:jc w:val="right"/>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-6.6%</w:t>
            </w:r>
          </w:p>
          <w:p>
            <w:pPr>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 xml:space="preserve">  </w:t>
            </w:r>
          </w:p>
          <w:p>
            <w:pPr>
              <w:rPr>
                <w:rFonts w:ascii="Bookman Old Style" w:hAnsi="Bookman Old Style" w:eastAsia="Bookman Old Style" w:cs="Bookman Old Style"/>
                <w:color w:val="000000"/>
                <w:sz w:val="22"/>
                <w:szCs w:val="22"/>
              </w:rPr>
            </w:pPr>
          </w:p>
          <w:p>
            <w:pPr>
              <w:jc w:val="right"/>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-6.4%</w:t>
            </w: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p>
          <w:p>
            <w:pPr>
              <w:jc w:val="right"/>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-2.4%</w:t>
            </w:r>
          </w:p>
        </w:tc>
      </w:tr>
    </w:tbl>
    <w:p>
      <w:pPr>
        <w:tabs>
          <w:tab w:val="left" w:pos="2790"/>
        </w:tabs>
        <w:jc w:val="both"/>
        <w:rPr>
          <w:rFonts w:ascii="Bookman Old Style" w:hAnsi="Bookman Old Style" w:eastAsia="Bookman Old Style" w:cs="Bookman Old Style"/>
          <w:b/>
        </w:rPr>
      </w:pPr>
    </w:p>
    <w:p>
      <w:pPr>
        <w:tabs>
          <w:tab w:val="left" w:pos="2790"/>
        </w:tabs>
        <w:jc w:val="both"/>
        <w:rPr>
          <w:rFonts w:ascii="Bookman Old Style" w:hAnsi="Bookman Old Style" w:eastAsia="Bookman Old Style" w:cs="Bookman Old Style"/>
          <w:b/>
        </w:rPr>
      </w:pPr>
    </w:p>
    <w:p>
      <w:pPr>
        <w:tabs>
          <w:tab w:val="left" w:pos="2790"/>
        </w:tabs>
        <w:jc w:val="both"/>
        <w:rPr>
          <w:rFonts w:ascii="Bookman Old Style" w:hAnsi="Bookman Old Style" w:eastAsia="Bookman Old Style" w:cs="Bookman Old Style"/>
          <w:b/>
        </w:rPr>
      </w:pPr>
      <w:r>
        <w:rPr>
          <w:rFonts w:ascii="Bookman Old Style" w:hAnsi="Bookman Old Style" w:eastAsia="Bookman Old Style" w:cs="Bookman Old Style"/>
          <w:b/>
        </w:rPr>
        <w:t>Nominal quarterly gross domestic product: July to September 2022</w:t>
      </w:r>
    </w:p>
    <w:p>
      <w:pPr>
        <w:tabs>
          <w:tab w:val="left" w:pos="3000"/>
        </w:tabs>
        <w:jc w:val="both"/>
        <w:rPr>
          <w:rFonts w:ascii="Bookman Old Style" w:hAnsi="Bookman Old Style" w:eastAsia="Bookman Old Style" w:cs="Bookman Old Style"/>
          <w:b/>
          <w:sz w:val="22"/>
          <w:szCs w:val="22"/>
        </w:rPr>
      </w:pPr>
    </w:p>
    <w:p>
      <w:pPr>
        <w:jc w:val="both"/>
        <w:rPr>
          <w:rFonts w:ascii="Calibri" w:hAnsi="Calibri" w:cs="Calibri"/>
          <w:b/>
          <w:bCs/>
          <w:color w:val="000000"/>
          <w:sz w:val="22"/>
          <w:szCs w:val="22"/>
        </w:rPr>
      </w:pPr>
      <w:r>
        <w:rPr>
          <w:rFonts w:ascii="Bookman Old Style" w:hAnsi="Bookman Old Style" w:eastAsia="Bookman Old Style" w:cs="Bookman Old Style"/>
        </w:rPr>
        <w:t>The GDP estimate at current prices in purchaser’s value</w:t>
      </w:r>
      <w:r>
        <w:rPr>
          <w:rFonts w:ascii="Bookman Old Style" w:hAnsi="Bookman Old Style" w:eastAsia="Bookman Old Style" w:cs="Bookman Old Style"/>
          <w:vertAlign w:val="superscript"/>
        </w:rPr>
        <w:footnoteReference w:id="0"/>
      </w:r>
      <w:r>
        <w:rPr>
          <w:rFonts w:ascii="Bookman Old Style" w:hAnsi="Bookman Old Style" w:eastAsia="Bookman Old Style" w:cs="Bookman Old Style"/>
        </w:rPr>
        <w:t xml:space="preserve"> for the 3</w:t>
      </w:r>
      <w:r>
        <w:rPr>
          <w:rFonts w:ascii="Bookman Old Style" w:hAnsi="Bookman Old Style" w:eastAsia="Bookman Old Style" w:cs="Bookman Old Style"/>
          <w:vertAlign w:val="superscript"/>
        </w:rPr>
        <w:t>rd</w:t>
      </w:r>
      <w:r>
        <w:rPr>
          <w:rFonts w:ascii="Bookman Old Style" w:hAnsi="Bookman Old Style" w:eastAsia="Bookman Old Style" w:cs="Bookman Old Style"/>
        </w:rPr>
        <w:t xml:space="preserve"> quarter of 2022 was </w:t>
      </w:r>
      <w:r>
        <w:rPr>
          <w:rFonts w:ascii="Bookman Old Style" w:hAnsi="Bookman Old Style" w:eastAsia="Bookman Old Style" w:cs="Bookman Old Style"/>
          <w:b/>
        </w:rPr>
        <w:t xml:space="preserve">GH¢149,876.7 million </w:t>
      </w:r>
      <w:r>
        <w:rPr>
          <w:rFonts w:ascii="Bookman Old Style" w:hAnsi="Bookman Old Style" w:eastAsia="Bookman Old Style" w:cs="Bookman Old Style"/>
        </w:rPr>
        <w:t xml:space="preserve">compared to </w:t>
      </w:r>
      <w:r>
        <w:rPr>
          <w:rFonts w:ascii="Bookman Old Style" w:hAnsi="Bookman Old Style" w:eastAsia="Bookman Old Style" w:cs="Bookman Old Style"/>
          <w:b/>
        </w:rPr>
        <w:t>GH¢112,489.5 million</w:t>
      </w:r>
      <w:r>
        <w:rPr>
          <w:rFonts w:ascii="Bookman Old Style" w:hAnsi="Bookman Old Style" w:eastAsia="Bookman Old Style" w:cs="Bookman Old Style"/>
        </w:rPr>
        <w:t xml:space="preserve"> in the 3</w:t>
      </w:r>
      <w:r>
        <w:rPr>
          <w:rFonts w:ascii="Bookman Old Style" w:hAnsi="Bookman Old Style" w:eastAsia="Bookman Old Style" w:cs="Bookman Old Style"/>
          <w:vertAlign w:val="superscript"/>
        </w:rPr>
        <w:t>rd</w:t>
      </w:r>
      <w:r>
        <w:rPr>
          <w:rFonts w:ascii="Bookman Old Style" w:hAnsi="Bookman Old Style" w:eastAsia="Bookman Old Style" w:cs="Bookman Old Style"/>
        </w:rPr>
        <w:t xml:space="preserve"> quarter of 2021. </w:t>
      </w:r>
    </w:p>
    <w:p>
      <w:pPr>
        <w:jc w:val="both"/>
        <w:rPr>
          <w:rFonts w:ascii="Bookman Old Style" w:hAnsi="Bookman Old Style" w:eastAsia="Bookman Old Style" w:cs="Bookman Old Style"/>
        </w:rPr>
      </w:pPr>
    </w:p>
    <w:p>
      <w:pPr>
        <w:jc w:val="both"/>
        <w:rPr>
          <w:rFonts w:ascii="Calibri" w:hAnsi="Calibri" w:cs="Calibri"/>
          <w:b/>
          <w:bCs/>
          <w:color w:val="000000"/>
          <w:sz w:val="22"/>
          <w:szCs w:val="22"/>
        </w:rPr>
      </w:pPr>
      <w:r>
        <w:rPr>
          <w:rFonts w:ascii="Bookman Old Style" w:hAnsi="Bookman Old Style" w:eastAsia="Bookman Old Style" w:cs="Bookman Old Style"/>
        </w:rPr>
        <w:t xml:space="preserve">The </w:t>
      </w:r>
      <w:r>
        <w:rPr>
          <w:rFonts w:ascii="Bookman Old Style" w:hAnsi="Bookman Old Style" w:eastAsia="Bookman Old Style" w:cs="Bookman Old Style"/>
          <w:b/>
        </w:rPr>
        <w:t>Non-oil GDP</w:t>
      </w:r>
      <w:r>
        <w:rPr>
          <w:rFonts w:ascii="Bookman Old Style" w:hAnsi="Bookman Old Style" w:eastAsia="Bookman Old Style" w:cs="Bookman Old Style"/>
        </w:rPr>
        <w:t xml:space="preserve"> (GDP without Oil and Gas) estimate at current prices for the 3</w:t>
      </w:r>
      <w:r>
        <w:rPr>
          <w:rFonts w:ascii="Bookman Old Style" w:hAnsi="Bookman Old Style" w:eastAsia="Bookman Old Style" w:cs="Bookman Old Style"/>
          <w:vertAlign w:val="superscript"/>
        </w:rPr>
        <w:t>rd</w:t>
      </w:r>
      <w:r>
        <w:rPr>
          <w:rFonts w:ascii="Bookman Old Style" w:hAnsi="Bookman Old Style" w:eastAsia="Bookman Old Style" w:cs="Bookman Old Style"/>
        </w:rPr>
        <w:t xml:space="preserve"> quarter of 2022 was</w:t>
      </w:r>
      <w:r>
        <w:rPr>
          <w:rFonts w:ascii="Bookman Old Style" w:hAnsi="Bookman Old Style"/>
          <w:b/>
          <w:bCs/>
          <w:color w:val="000000"/>
          <w:sz w:val="22"/>
          <w:szCs w:val="22"/>
        </w:rPr>
        <w:t xml:space="preserve"> </w:t>
      </w:r>
      <w:r>
        <w:rPr>
          <w:rFonts w:ascii="Bookman Old Style" w:hAnsi="Bookman Old Style" w:eastAsia="Bookman Old Style" w:cs="Bookman Old Style"/>
          <w:b/>
        </w:rPr>
        <w:t>GH¢139,980.6</w:t>
      </w:r>
      <w:r>
        <w:rPr>
          <w:rFonts w:ascii="Calibri" w:hAnsi="Calibri" w:cs="Calibri"/>
          <w:b/>
          <w:bCs/>
          <w:color w:val="000000"/>
          <w:sz w:val="22"/>
          <w:szCs w:val="22"/>
        </w:rPr>
        <w:t xml:space="preserve"> </w:t>
      </w:r>
      <w:r>
        <w:rPr>
          <w:rFonts w:ascii="Bookman Old Style" w:hAnsi="Bookman Old Style" w:eastAsia="Bookman Old Style" w:cs="Bookman Old Style"/>
          <w:b/>
        </w:rPr>
        <w:t xml:space="preserve">million </w:t>
      </w:r>
      <w:r>
        <w:rPr>
          <w:rFonts w:ascii="Bookman Old Style" w:hAnsi="Bookman Old Style" w:eastAsia="Bookman Old Style" w:cs="Bookman Old Style"/>
        </w:rPr>
        <w:t>compared to</w:t>
      </w:r>
      <w:r>
        <w:rPr>
          <w:rFonts w:ascii="Bookman Old Style" w:hAnsi="Bookman Old Style" w:eastAsia="Bookman Old Style" w:cs="Bookman Old Style"/>
          <w:b/>
        </w:rPr>
        <w:t xml:space="preserve"> GH¢106,999.4 million </w:t>
      </w:r>
      <w:r>
        <w:rPr>
          <w:rFonts w:ascii="Bookman Old Style" w:hAnsi="Bookman Old Style" w:eastAsia="Bookman Old Style" w:cs="Bookman Old Style"/>
        </w:rPr>
        <w:t>in the 3</w:t>
      </w:r>
      <w:r>
        <w:rPr>
          <w:rFonts w:ascii="Bookman Old Style" w:hAnsi="Bookman Old Style" w:eastAsia="Bookman Old Style" w:cs="Bookman Old Style"/>
          <w:vertAlign w:val="superscript"/>
        </w:rPr>
        <w:t>rd</w:t>
      </w:r>
      <w:r>
        <w:rPr>
          <w:rFonts w:ascii="Bookman Old Style" w:hAnsi="Bookman Old Style" w:eastAsia="Bookman Old Style" w:cs="Bookman Old Style"/>
        </w:rPr>
        <w:t xml:space="preserve"> quarter of 2021.</w:t>
      </w:r>
      <w:r>
        <w:rPr>
          <w:rFonts w:ascii="Bookman Old Style" w:hAnsi="Bookman Old Style" w:eastAsia="Bookman Old Style" w:cs="Bookman Old Style"/>
          <w:b/>
        </w:rPr>
        <w:t xml:space="preserve"> </w:t>
      </w:r>
    </w:p>
    <w:p>
      <w:pPr>
        <w:jc w:val="both"/>
        <w:rPr>
          <w:rFonts w:ascii="Bookman Old Style" w:hAnsi="Bookman Old Style" w:cs="Calibri"/>
          <w:b/>
          <w:bCs/>
          <w:color w:val="000000"/>
          <w:sz w:val="22"/>
          <w:szCs w:val="22"/>
        </w:rPr>
      </w:pPr>
    </w:p>
    <w:p>
      <w:pPr>
        <w:jc w:val="both"/>
        <w:rPr>
          <w:rFonts w:ascii="Bookman Old Style" w:hAnsi="Bookman Old Style" w:cs="Calibri"/>
          <w:b/>
          <w:bCs/>
          <w:color w:val="000000"/>
          <w:sz w:val="22"/>
          <w:szCs w:val="22"/>
        </w:rPr>
      </w:pPr>
    </w:p>
    <w:p>
      <w:pPr>
        <w:jc w:val="both"/>
        <w:rPr>
          <w:rFonts w:ascii="Bookman Old Style" w:hAnsi="Bookman Old Style" w:eastAsia="Bookman Old Style" w:cs="Bookman Old Style"/>
          <w:b/>
        </w:rPr>
      </w:pPr>
      <w:r>
        <w:rPr>
          <w:rFonts w:ascii="Bookman Old Style" w:hAnsi="Bookman Old Style" w:eastAsia="Bookman Old Style" w:cs="Bookman Old Style"/>
          <w:b/>
        </w:rPr>
        <w:t>GDP sectoral shares</w:t>
      </w:r>
    </w:p>
    <w:p>
      <w:pPr>
        <w:jc w:val="both"/>
        <w:rPr>
          <w:rFonts w:ascii="Bookman Old Style" w:hAnsi="Bookman Old Style" w:eastAsia="Bookman Old Style" w:cs="Bookman Old Style"/>
          <w:b/>
        </w:rPr>
      </w:pPr>
    </w:p>
    <w:p>
      <w:pPr>
        <w:spacing w:line="276" w:lineRule="auto"/>
        <w:jc w:val="both"/>
        <w:rPr>
          <w:rFonts w:ascii="Bookman Old Style" w:hAnsi="Bookman Old Style" w:eastAsia="Bookman Old Style" w:cs="Bookman Old Style"/>
        </w:rPr>
      </w:pPr>
      <w:r>
        <w:rPr>
          <w:rFonts w:ascii="Bookman Old Style" w:hAnsi="Bookman Old Style" w:eastAsia="Bookman Old Style" w:cs="Bookman Old Style"/>
        </w:rPr>
        <w:t>The Services sector continue to be the largest sector of the Ghanaian economy in the second quarter of 2022 with a share of 44.4 percent of GDP at basic prices. The GDP share of Industry and Agriculture were 33.6 percent and 22.0 percent respectively.</w:t>
      </w:r>
    </w:p>
    <w:p>
      <w:pPr>
        <w:jc w:val="both"/>
        <w:rPr>
          <w:rFonts w:ascii="Bookman Old Style" w:hAnsi="Bookman Old Style" w:eastAsia="Bookman Old Style" w:cs="Bookman Old Style"/>
        </w:rPr>
      </w:pPr>
    </w:p>
    <w:p>
      <w:pPr>
        <w:spacing w:line="360" w:lineRule="auto"/>
        <w:jc w:val="both"/>
        <w:rPr>
          <w:rFonts w:ascii="Bookman Old Style" w:hAnsi="Bookman Old Style" w:eastAsia="Bookman Old Style" w:cs="Bookman Old Style"/>
          <w:b/>
        </w:rPr>
      </w:pPr>
      <w:r>
        <w:rPr>
          <w:rFonts w:ascii="Bookman Old Style" w:hAnsi="Bookman Old Style" w:eastAsia="Bookman Old Style" w:cs="Bookman Old Style"/>
          <w:b/>
        </w:rPr>
        <w:t>Figure 2: Sectoral distribution (%) of nominal GDP at basic prices</w:t>
      </w:r>
    </w:p>
    <w:p>
      <w:pPr>
        <w:spacing w:line="360" w:lineRule="auto"/>
        <w:jc w:val="both"/>
        <w:rPr>
          <w:rFonts w:ascii="Bookman Old Style" w:hAnsi="Bookman Old Style" w:eastAsia="Bookman Old Style" w:cs="Bookman Old Style"/>
          <w:b/>
        </w:rPr>
      </w:pPr>
      <w:r>
        <w:rPr>
          <w:rFonts w:ascii="Bookman Old Style" w:hAnsi="Bookman Old Style" w:eastAsia="Bookman Old Style" w:cs="Bookman Old Style"/>
          <w:b/>
        </w:rPr>
        <w:drawing>
          <wp:inline distT="0" distB="0" distL="0" distR="0">
            <wp:extent cx="6207125" cy="2714625"/>
            <wp:effectExtent l="0" t="0" r="317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207125" cy="2714625"/>
                    </a:xfrm>
                    <a:prstGeom prst="rect">
                      <a:avLst/>
                    </a:prstGeom>
                    <a:noFill/>
                  </pic:spPr>
                </pic:pic>
              </a:graphicData>
            </a:graphic>
          </wp:inline>
        </w:drawing>
      </w:r>
    </w:p>
    <w:p>
      <w:pPr>
        <w:spacing w:line="360" w:lineRule="auto"/>
        <w:jc w:val="both"/>
        <w:rPr>
          <w:rFonts w:ascii="Bookman Old Style" w:hAnsi="Bookman Old Style" w:eastAsia="Bookman Old Style" w:cs="Bookman Old Style"/>
          <w:b/>
        </w:rPr>
      </w:pPr>
    </w:p>
    <w:p>
      <w:pPr>
        <w:jc w:val="both"/>
        <w:rPr>
          <w:rFonts w:ascii="Bookman Old Style" w:hAnsi="Bookman Old Style" w:eastAsia="Bookman Old Style" w:cs="Bookman Old Style"/>
          <w:b/>
        </w:rPr>
      </w:pPr>
      <w:r>
        <w:rPr>
          <w:rFonts w:ascii="Bookman Old Style" w:hAnsi="Bookman Old Style" w:eastAsia="Bookman Old Style" w:cs="Bookman Old Style"/>
          <w:b/>
        </w:rPr>
        <w:t>Seasonally Adjusted GDP</w:t>
      </w:r>
      <w:r>
        <w:rPr>
          <w:rFonts w:ascii="Bookman Old Style" w:hAnsi="Bookman Old Style" w:eastAsia="Bookman Old Style" w:cs="Bookman Old Style"/>
        </w:rPr>
        <w:t xml:space="preserve"> </w:t>
      </w:r>
    </w:p>
    <w:p>
      <w:pPr>
        <w:jc w:val="both"/>
        <w:rPr>
          <w:rFonts w:ascii="Bookman Old Style" w:hAnsi="Bookman Old Style" w:eastAsia="Bookman Old Style" w:cs="Bookman Old Style"/>
          <w:b/>
        </w:rPr>
      </w:pPr>
    </w:p>
    <w:p>
      <w:pPr>
        <w:spacing w:line="276" w:lineRule="auto"/>
        <w:jc w:val="both"/>
        <w:rPr>
          <w:rFonts w:ascii="Bookman Old Style" w:hAnsi="Bookman Old Style" w:eastAsia="Bookman Old Style" w:cs="Bookman Old Style"/>
          <w:b/>
        </w:rPr>
      </w:pPr>
      <w:r>
        <w:rPr>
          <w:rFonts w:ascii="Bookman Old Style" w:hAnsi="Bookman Old Style" w:eastAsia="Bookman Old Style" w:cs="Bookman Old Style"/>
          <w:b/>
        </w:rPr>
        <w:t>The Provisional quarter-on-quarter</w:t>
      </w:r>
      <w:r>
        <w:rPr>
          <w:rFonts w:ascii="Bookman Old Style" w:hAnsi="Bookman Old Style" w:eastAsia="Bookman Old Style" w:cs="Bookman Old Style"/>
          <w:b/>
          <w:vertAlign w:val="superscript"/>
        </w:rPr>
        <w:footnoteReference w:id="1"/>
      </w:r>
      <w:r>
        <w:rPr>
          <w:rFonts w:ascii="Bookman Old Style" w:hAnsi="Bookman Old Style" w:eastAsia="Bookman Old Style" w:cs="Bookman Old Style"/>
          <w:b/>
        </w:rPr>
        <w:t xml:space="preserve"> seasonally adjusted Real Gross Domestic Product (including Oil) growth rate for the 3</w:t>
      </w:r>
      <w:r>
        <w:rPr>
          <w:rFonts w:ascii="Bookman Old Style" w:hAnsi="Bookman Old Style" w:eastAsia="Bookman Old Style" w:cs="Bookman Old Style"/>
          <w:b/>
          <w:vertAlign w:val="superscript"/>
        </w:rPr>
        <w:t>rd</w:t>
      </w:r>
      <w:r>
        <w:rPr>
          <w:rFonts w:ascii="Bookman Old Style" w:hAnsi="Bookman Old Style" w:eastAsia="Bookman Old Style" w:cs="Bookman Old Style"/>
          <w:b/>
        </w:rPr>
        <w:t xml:space="preserve"> quarter of 2022 was 0.7 percent. </w:t>
      </w:r>
    </w:p>
    <w:p>
      <w:pPr>
        <w:jc w:val="both"/>
        <w:rPr>
          <w:rFonts w:ascii="Bookman Old Style" w:hAnsi="Bookman Old Style" w:eastAsia="Bookman Old Style" w:cs="Bookman Old Style"/>
        </w:rPr>
      </w:pPr>
    </w:p>
    <w:p>
      <w:pPr>
        <w:spacing w:line="276" w:lineRule="auto"/>
        <w:jc w:val="both"/>
        <w:rPr>
          <w:rFonts w:ascii="Bookman Old Style" w:hAnsi="Bookman Old Style" w:eastAsia="Bookman Old Style" w:cs="Bookman Old Style"/>
        </w:rPr>
      </w:pPr>
      <w:r>
        <w:rPr>
          <w:rFonts w:ascii="Bookman Old Style" w:hAnsi="Bookman Old Style" w:eastAsia="Bookman Old Style" w:cs="Bookman Old Style"/>
        </w:rPr>
        <w:t>For the 3</w:t>
      </w:r>
      <w:r>
        <w:rPr>
          <w:rFonts w:ascii="Bookman Old Style" w:hAnsi="Bookman Old Style" w:eastAsia="Bookman Old Style" w:cs="Bookman Old Style"/>
          <w:vertAlign w:val="superscript"/>
        </w:rPr>
        <w:t>rd</w:t>
      </w:r>
      <w:r>
        <w:rPr>
          <w:rFonts w:ascii="Bookman Old Style" w:hAnsi="Bookman Old Style" w:eastAsia="Bookman Old Style" w:cs="Bookman Old Style"/>
        </w:rPr>
        <w:t xml:space="preserve"> quarter of 2022, the quarter-on-quarter seasonally adjusted growth rates (see Table 2) were as follows:</w:t>
      </w:r>
    </w:p>
    <w:p>
      <w:pPr>
        <w:jc w:val="both"/>
        <w:rPr>
          <w:rFonts w:ascii="Bookman Old Style" w:hAnsi="Bookman Old Style" w:eastAsia="Bookman Old Style" w:cs="Bookman Old Style"/>
        </w:rPr>
      </w:pPr>
    </w:p>
    <w:p>
      <w:pPr>
        <w:pStyle w:val="23"/>
        <w:numPr>
          <w:ilvl w:val="0"/>
          <w:numId w:val="5"/>
        </w:numPr>
        <w:spacing w:after="200" w:line="276" w:lineRule="auto"/>
        <w:ind w:left="360" w:firstLine="120" w:firstLineChars="50"/>
        <w:jc w:val="both"/>
        <w:rPr>
          <w:highlight w:val="yellow"/>
        </w:rPr>
      </w:pPr>
      <w:r>
        <w:rPr>
          <w:rFonts w:ascii="Bookman Old Style" w:hAnsi="Bookman Old Style" w:eastAsia="Bookman Old Style" w:cs="Bookman Old Style"/>
        </w:rPr>
        <w:t>The Agriculture sector expanded by 1.0 percent in 3</w:t>
      </w:r>
      <w:r>
        <w:rPr>
          <w:rFonts w:ascii="Bookman Old Style" w:hAnsi="Bookman Old Style" w:eastAsia="Bookman Old Style" w:cs="Bookman Old Style"/>
          <w:vertAlign w:val="superscript"/>
        </w:rPr>
        <w:t>rd</w:t>
      </w:r>
      <w:r>
        <w:rPr>
          <w:rFonts w:ascii="Bookman Old Style" w:hAnsi="Bookman Old Style" w:eastAsia="Bookman Old Style" w:cs="Bookman Old Style"/>
        </w:rPr>
        <w:t xml:space="preserve"> quarter 2022 compared to 0.9 percent in the 2</w:t>
      </w:r>
      <w:r>
        <w:rPr>
          <w:rFonts w:ascii="Bookman Old Style" w:hAnsi="Bookman Old Style" w:eastAsia="Bookman Old Style" w:cs="Bookman Old Style"/>
          <w:vertAlign w:val="superscript"/>
        </w:rPr>
        <w:t>nd</w:t>
      </w:r>
      <w:r>
        <w:rPr>
          <w:rFonts w:ascii="Bookman Old Style" w:hAnsi="Bookman Old Style" w:eastAsia="Bookman Old Style" w:cs="Bookman Old Style"/>
        </w:rPr>
        <w:t xml:space="preserve"> quarter of 2022. The Fishing sub-sector increased by 1 percentage point from 1.7 percent in the 2</w:t>
      </w:r>
      <w:r>
        <w:rPr>
          <w:rFonts w:ascii="Bookman Old Style" w:hAnsi="Bookman Old Style" w:eastAsia="Bookman Old Style" w:cs="Bookman Old Style"/>
          <w:vertAlign w:val="superscript"/>
        </w:rPr>
        <w:t>nd</w:t>
      </w:r>
      <w:r>
        <w:rPr>
          <w:rFonts w:ascii="Bookman Old Style" w:hAnsi="Bookman Old Style" w:eastAsia="Bookman Old Style" w:cs="Bookman Old Style"/>
        </w:rPr>
        <w:t xml:space="preserve"> Quarter 2022 to 2.7 percent in the 3</w:t>
      </w:r>
      <w:r>
        <w:rPr>
          <w:rFonts w:ascii="Bookman Old Style" w:hAnsi="Bookman Old Style" w:eastAsia="Bookman Old Style" w:cs="Bookman Old Style"/>
          <w:vertAlign w:val="superscript"/>
        </w:rPr>
        <w:t>rd</w:t>
      </w:r>
      <w:r>
        <w:rPr>
          <w:rFonts w:ascii="Bookman Old Style" w:hAnsi="Bookman Old Style" w:eastAsia="Bookman Old Style" w:cs="Bookman Old Style"/>
        </w:rPr>
        <w:t xml:space="preserve"> quarter of 2022. The growth of Crops &amp; Cocoa sub-sectors improved marginally to 0.9 percent from 0.8 percent in the 2</w:t>
      </w:r>
      <w:r>
        <w:rPr>
          <w:rFonts w:ascii="Bookman Old Style" w:hAnsi="Bookman Old Style" w:eastAsia="Bookman Old Style" w:cs="Bookman Old Style"/>
          <w:vertAlign w:val="superscript"/>
        </w:rPr>
        <w:t>nd</w:t>
      </w:r>
      <w:r>
        <w:rPr>
          <w:rFonts w:ascii="Bookman Old Style" w:hAnsi="Bookman Old Style" w:eastAsia="Bookman Old Style" w:cs="Bookman Old Style"/>
        </w:rPr>
        <w:t xml:space="preserve"> quarter of 2022.  The Livestock subsector declined to 1.1 percent from 1.2 percent recorded in the 2</w:t>
      </w:r>
      <w:r>
        <w:rPr>
          <w:rFonts w:ascii="Bookman Old Style" w:hAnsi="Bookman Old Style" w:eastAsia="Bookman Old Style" w:cs="Bookman Old Style"/>
          <w:vertAlign w:val="superscript"/>
        </w:rPr>
        <w:t>nd</w:t>
      </w:r>
      <w:r>
        <w:rPr>
          <w:rFonts w:ascii="Bookman Old Style" w:hAnsi="Bookman Old Style" w:eastAsia="Bookman Old Style" w:cs="Bookman Old Style"/>
        </w:rPr>
        <w:t xml:space="preserve"> quarter of 2022. The Forestry and Logging sub-sector expanded by 1.1 percent in the 3rd quarter</w:t>
      </w:r>
      <w:r>
        <w:rPr>
          <w:rFonts w:ascii="Bookman Old Style" w:hAnsi="Bookman Old Style" w:eastAsia="Bookman Old Style" w:cs="Bookman Old Style"/>
          <w:vertAlign w:val="superscript"/>
        </w:rPr>
        <w:t xml:space="preserve"> </w:t>
      </w:r>
      <w:r>
        <w:rPr>
          <w:rFonts w:ascii="Bookman Old Style" w:hAnsi="Bookman Old Style" w:eastAsia="Bookman Old Style" w:cs="Bookman Old Style"/>
        </w:rPr>
        <w:t>of 2022.</w:t>
      </w:r>
    </w:p>
    <w:p>
      <w:pPr>
        <w:pStyle w:val="23"/>
        <w:spacing w:after="200" w:line="276" w:lineRule="auto"/>
        <w:jc w:val="both"/>
        <w:rPr>
          <w:highlight w:val="yellow"/>
        </w:rPr>
      </w:pPr>
    </w:p>
    <w:p>
      <w:pPr>
        <w:pStyle w:val="23"/>
        <w:numPr>
          <w:ilvl w:val="0"/>
          <w:numId w:val="5"/>
        </w:numPr>
        <w:spacing w:line="276" w:lineRule="auto"/>
        <w:jc w:val="both"/>
        <w:rPr>
          <w:rFonts w:ascii="Bookman Old Style" w:hAnsi="Bookman Old Style" w:eastAsia="Bookman Old Style" w:cs="Bookman Old Style"/>
        </w:rPr>
      </w:pPr>
      <w:r>
        <w:rPr>
          <w:rFonts w:ascii="Bookman Old Style" w:hAnsi="Bookman Old Style" w:eastAsia="Bookman Old Style" w:cs="Bookman Old Style"/>
        </w:rPr>
        <w:t>Within the Industry sector which expanded by 0.2 percent (quarter on quarter), the Mining &amp; Quarrying sub-sector expanded further from 1.5 percent in the 2</w:t>
      </w:r>
      <w:r>
        <w:rPr>
          <w:rFonts w:ascii="Bookman Old Style" w:hAnsi="Bookman Old Style" w:eastAsia="Bookman Old Style" w:cs="Bookman Old Style"/>
          <w:vertAlign w:val="superscript"/>
        </w:rPr>
        <w:t>nd</w:t>
      </w:r>
      <w:r>
        <w:rPr>
          <w:rFonts w:ascii="Bookman Old Style" w:hAnsi="Bookman Old Style" w:eastAsia="Bookman Old Style" w:cs="Bookman Old Style"/>
        </w:rPr>
        <w:t xml:space="preserve"> quarter of 2022, to 3.6 percent in the 3</w:t>
      </w:r>
      <w:r>
        <w:rPr>
          <w:rFonts w:ascii="Bookman Old Style" w:hAnsi="Bookman Old Style" w:eastAsia="Bookman Old Style" w:cs="Bookman Old Style"/>
          <w:vertAlign w:val="superscript"/>
        </w:rPr>
        <w:t>rd</w:t>
      </w:r>
      <w:r>
        <w:rPr>
          <w:rFonts w:ascii="Bookman Old Style" w:hAnsi="Bookman Old Style" w:eastAsia="Bookman Old Style" w:cs="Bookman Old Style"/>
        </w:rPr>
        <w:t xml:space="preserve"> quarter of 2022. Manufacturing sub-sector declined by 1.8 percent in the 3</w:t>
      </w:r>
      <w:r>
        <w:rPr>
          <w:rFonts w:ascii="Bookman Old Style" w:hAnsi="Bookman Old Style" w:eastAsia="Bookman Old Style" w:cs="Bookman Old Style"/>
          <w:vertAlign w:val="superscript"/>
        </w:rPr>
        <w:t>rd</w:t>
      </w:r>
      <w:r>
        <w:rPr>
          <w:rFonts w:ascii="Bookman Old Style" w:hAnsi="Bookman Old Style" w:eastAsia="Bookman Old Style" w:cs="Bookman Old Style"/>
        </w:rPr>
        <w:t xml:space="preserve"> quarter of 2022 compared to an expansion of  1.2 percent in the 2</w:t>
      </w:r>
      <w:r>
        <w:rPr>
          <w:rFonts w:ascii="Bookman Old Style" w:hAnsi="Bookman Old Style" w:eastAsia="Bookman Old Style" w:cs="Bookman Old Style"/>
          <w:vertAlign w:val="superscript"/>
        </w:rPr>
        <w:t>nd</w:t>
      </w:r>
      <w:r>
        <w:rPr>
          <w:rFonts w:ascii="Bookman Old Style" w:hAnsi="Bookman Old Style" w:eastAsia="Bookman Old Style" w:cs="Bookman Old Style"/>
        </w:rPr>
        <w:t xml:space="preserve"> quarter of 2022. There were contractions in the construction (-1.8%),  Electricity (-1.0%) and </w:t>
      </w:r>
      <w:r>
        <w:rPr>
          <w:rFonts w:ascii="Bookman Old Style" w:hAnsi="Bookman Old Style" w:eastAsia="Bookman Old Style"/>
        </w:rPr>
        <w:t>Water Supply, Sewerage, Waste Management &amp; Remediation Activities (-0.9%)</w:t>
      </w:r>
      <w:r>
        <w:rPr>
          <w:rFonts w:ascii="Bookman Old Style" w:hAnsi="Bookman Old Style" w:eastAsia="Bookman Old Style" w:cs="Bookman Old Style"/>
        </w:rPr>
        <w:t xml:space="preserve"> sub-sectors in the 3</w:t>
      </w:r>
      <w:r>
        <w:rPr>
          <w:rFonts w:ascii="Bookman Old Style" w:hAnsi="Bookman Old Style" w:eastAsia="Bookman Old Style" w:cs="Bookman Old Style"/>
          <w:vertAlign w:val="superscript"/>
        </w:rPr>
        <w:t>rd</w:t>
      </w:r>
      <w:r>
        <w:rPr>
          <w:rFonts w:ascii="Bookman Old Style" w:hAnsi="Bookman Old Style" w:eastAsia="Bookman Old Style" w:cs="Bookman Old Style"/>
        </w:rPr>
        <w:t xml:space="preserve"> quarter of 2022 compared  the 2</w:t>
      </w:r>
      <w:r>
        <w:rPr>
          <w:rFonts w:ascii="Bookman Old Style" w:hAnsi="Bookman Old Style" w:eastAsia="Bookman Old Style" w:cs="Bookman Old Style"/>
          <w:vertAlign w:val="superscript"/>
        </w:rPr>
        <w:t>nd</w:t>
      </w:r>
      <w:r>
        <w:rPr>
          <w:rFonts w:ascii="Bookman Old Style" w:hAnsi="Bookman Old Style" w:eastAsia="Bookman Old Style" w:cs="Bookman Old Style"/>
        </w:rPr>
        <w:t xml:space="preserve"> quarter of 2022. </w:t>
      </w:r>
    </w:p>
    <w:p>
      <w:pPr>
        <w:pStyle w:val="23"/>
        <w:rPr>
          <w:rFonts w:ascii="Bookman Old Style" w:hAnsi="Bookman Old Style" w:eastAsia="Bookman Old Style" w:cs="Bookman Old Style"/>
        </w:rPr>
      </w:pPr>
    </w:p>
    <w:p>
      <w:pPr>
        <w:pStyle w:val="23"/>
        <w:numPr>
          <w:ilvl w:val="0"/>
          <w:numId w:val="5"/>
        </w:numPr>
        <w:spacing w:line="276" w:lineRule="auto"/>
        <w:jc w:val="both"/>
        <w:rPr>
          <w:rFonts w:ascii="Bookman Old Style" w:hAnsi="Bookman Old Style" w:eastAsia="Bookman Old Style" w:cs="Bookman Old Style"/>
        </w:rPr>
      </w:pPr>
      <w:r>
        <w:rPr>
          <w:rFonts w:ascii="Bookman Old Style" w:hAnsi="Bookman Old Style" w:eastAsia="Bookman Old Style" w:cs="Bookman Old Style"/>
        </w:rPr>
        <w:t>In the Services sector, Information &amp; Communication sub-sector expanded by 4.0 percent in the 3</w:t>
      </w:r>
      <w:r>
        <w:rPr>
          <w:rFonts w:ascii="Bookman Old Style" w:hAnsi="Bookman Old Style" w:eastAsia="Bookman Old Style" w:cs="Bookman Old Style"/>
          <w:vertAlign w:val="superscript"/>
        </w:rPr>
        <w:t>rd</w:t>
      </w:r>
      <w:r>
        <w:rPr>
          <w:rFonts w:ascii="Bookman Old Style" w:hAnsi="Bookman Old Style" w:eastAsia="Bookman Old Style" w:cs="Bookman Old Style"/>
        </w:rPr>
        <w:t xml:space="preserve"> quarter of 2022 compared to a growth of 2.6 percent in the 2</w:t>
      </w:r>
      <w:r>
        <w:rPr>
          <w:rFonts w:ascii="Bookman Old Style" w:hAnsi="Bookman Old Style" w:eastAsia="Bookman Old Style" w:cs="Bookman Old Style"/>
          <w:vertAlign w:val="superscript"/>
        </w:rPr>
        <w:t>nd</w:t>
      </w:r>
      <w:r>
        <w:rPr>
          <w:rFonts w:ascii="Bookman Old Style" w:hAnsi="Bookman Old Style" w:eastAsia="Bookman Old Style" w:cs="Bookman Old Style"/>
        </w:rPr>
        <w:t xml:space="preserve"> quarter of 2022. Health &amp; Social Work activities and Education recorded a growth rate of 2.2 and 2.8 percent in quarter three of 2022 from 3.3 and 3.1 percent respectively in quarter two of 2022. </w:t>
      </w:r>
    </w:p>
    <w:p>
      <w:pPr>
        <w:pStyle w:val="23"/>
        <w:spacing w:line="276" w:lineRule="auto"/>
        <w:jc w:val="both"/>
        <w:rPr>
          <w:rFonts w:ascii="Bookman Old Style" w:hAnsi="Bookman Old Style" w:eastAsia="Bookman Old Style" w:cs="Bookman Old Style"/>
        </w:rPr>
      </w:pPr>
    </w:p>
    <w:p>
      <w:pPr>
        <w:pStyle w:val="23"/>
        <w:spacing w:line="276" w:lineRule="auto"/>
        <w:jc w:val="both"/>
        <w:rPr>
          <w:rFonts w:ascii="Bookman Old Style" w:hAnsi="Bookman Old Style" w:eastAsia="Bookman Old Style" w:cs="Bookman Old Style"/>
        </w:rPr>
      </w:pPr>
      <w:r>
        <w:rPr>
          <w:rFonts w:ascii="Bookman Old Style" w:hAnsi="Bookman Old Style" w:eastAsia="Bookman Old Style"/>
        </w:rPr>
        <w:t>Public Administration, Defense &amp; Social Security recorded a marginal decline in growth from 2.0 percent in the 2</w:t>
      </w:r>
      <w:r>
        <w:rPr>
          <w:rFonts w:ascii="Bookman Old Style" w:hAnsi="Bookman Old Style" w:eastAsia="Bookman Old Style"/>
          <w:vertAlign w:val="superscript"/>
        </w:rPr>
        <w:t>nd</w:t>
      </w:r>
      <w:r>
        <w:rPr>
          <w:rFonts w:ascii="Bookman Old Style" w:hAnsi="Bookman Old Style" w:eastAsia="Bookman Old Style"/>
        </w:rPr>
        <w:t xml:space="preserve"> </w:t>
      </w:r>
      <w:r>
        <w:rPr>
          <w:rFonts w:ascii="Bookman Old Style" w:hAnsi="Bookman Old Style" w:eastAsia="Bookman Old Style" w:cs="Bookman Old Style"/>
        </w:rPr>
        <w:t>quarter of 2022 to 1.2 percent in the 3</w:t>
      </w:r>
      <w:r>
        <w:rPr>
          <w:rFonts w:ascii="Bookman Old Style" w:hAnsi="Bookman Old Style" w:eastAsia="Bookman Old Style" w:cs="Bookman Old Style"/>
          <w:vertAlign w:val="superscript"/>
        </w:rPr>
        <w:t>rd</w:t>
      </w:r>
      <w:r>
        <w:rPr>
          <w:rFonts w:ascii="Bookman Old Style" w:hAnsi="Bookman Old Style" w:eastAsia="Bookman Old Style" w:cs="Bookman Old Style"/>
        </w:rPr>
        <w:t xml:space="preserve"> quarter of 2022. Transport &amp; Storage expanded by 1.6 percent in the 3</w:t>
      </w:r>
      <w:r>
        <w:rPr>
          <w:rFonts w:ascii="Bookman Old Style" w:hAnsi="Bookman Old Style" w:eastAsia="Bookman Old Style" w:cs="Bookman Old Style"/>
          <w:vertAlign w:val="superscript"/>
        </w:rPr>
        <w:t>rd</w:t>
      </w:r>
      <w:r>
        <w:rPr>
          <w:rFonts w:ascii="Bookman Old Style" w:hAnsi="Bookman Old Style" w:eastAsia="Bookman Old Style" w:cs="Bookman Old Style"/>
        </w:rPr>
        <w:t xml:space="preserve"> quarter of 2022 compared to a growth of 0.4 percent in the 2</w:t>
      </w:r>
      <w:r>
        <w:rPr>
          <w:rFonts w:ascii="Bookman Old Style" w:hAnsi="Bookman Old Style" w:eastAsia="Bookman Old Style" w:cs="Bookman Old Style"/>
          <w:vertAlign w:val="superscript"/>
        </w:rPr>
        <w:t>nd</w:t>
      </w:r>
      <w:r>
        <w:rPr>
          <w:rFonts w:ascii="Bookman Old Style" w:hAnsi="Bookman Old Style" w:eastAsia="Bookman Old Style" w:cs="Bookman Old Style"/>
        </w:rPr>
        <w:t xml:space="preserve"> quarter of 2022. Finance &amp; Insurance maintained its 1.1 percent growth between quarters two and three of 2022. </w:t>
      </w:r>
    </w:p>
    <w:p>
      <w:pPr>
        <w:pStyle w:val="23"/>
        <w:spacing w:line="276" w:lineRule="auto"/>
        <w:jc w:val="both"/>
        <w:rPr>
          <w:rFonts w:ascii="Bookman Old Style" w:hAnsi="Bookman Old Style" w:eastAsia="Bookman Old Style" w:cs="Bookman Old Style"/>
        </w:rPr>
      </w:pPr>
    </w:p>
    <w:p>
      <w:pPr>
        <w:pStyle w:val="23"/>
        <w:spacing w:line="276" w:lineRule="auto"/>
        <w:jc w:val="both"/>
        <w:rPr>
          <w:rFonts w:ascii="Bookman Old Style" w:hAnsi="Bookman Old Style" w:eastAsia="Bookman Old Style" w:cs="Bookman Old Style"/>
        </w:rPr>
      </w:pPr>
      <w:r>
        <w:rPr>
          <w:rFonts w:ascii="Bookman Old Style" w:hAnsi="Bookman Old Style" w:eastAsia="Bookman Old Style" w:cs="Bookman Old Style"/>
        </w:rPr>
        <w:t>There were however contractions in the remaining activities within the services sector</w:t>
      </w:r>
    </w:p>
    <w:p>
      <w:pPr>
        <w:pStyle w:val="23"/>
        <w:spacing w:line="276" w:lineRule="auto"/>
        <w:jc w:val="both"/>
        <w:rPr>
          <w:rFonts w:ascii="Bookman Old Style" w:hAnsi="Bookman Old Style" w:eastAsia="Bookman Old Style" w:cs="Bookman Old Style"/>
        </w:rPr>
      </w:pPr>
    </w:p>
    <w:p>
      <w:pPr>
        <w:pStyle w:val="23"/>
        <w:spacing w:line="276" w:lineRule="auto"/>
        <w:jc w:val="both"/>
        <w:rPr>
          <w:rFonts w:ascii="Bookman Old Style" w:hAnsi="Bookman Old Style" w:eastAsia="Bookman Old Style" w:cs="Bookman Old Style"/>
        </w:rPr>
      </w:pPr>
    </w:p>
    <w:p>
      <w:pPr>
        <w:pStyle w:val="23"/>
        <w:spacing w:line="276" w:lineRule="auto"/>
        <w:jc w:val="both"/>
        <w:rPr>
          <w:rFonts w:ascii="Bookman Old Style" w:hAnsi="Bookman Old Style" w:eastAsia="Bookman Old Style" w:cs="Bookman Old Style"/>
        </w:rPr>
      </w:pPr>
    </w:p>
    <w:p>
      <w:pPr>
        <w:pStyle w:val="23"/>
        <w:spacing w:line="276" w:lineRule="auto"/>
        <w:jc w:val="both"/>
        <w:rPr>
          <w:rFonts w:ascii="Bookman Old Style" w:hAnsi="Bookman Old Style" w:eastAsia="Bookman Old Style" w:cs="Bookman Old Style"/>
        </w:rPr>
      </w:pPr>
    </w:p>
    <w:p>
      <w:pPr>
        <w:pStyle w:val="23"/>
        <w:spacing w:line="276" w:lineRule="auto"/>
        <w:jc w:val="both"/>
        <w:rPr>
          <w:rFonts w:ascii="Bookman Old Style" w:hAnsi="Bookman Old Style" w:eastAsia="Bookman Old Style" w:cs="Bookman Old Style"/>
        </w:rPr>
      </w:pPr>
    </w:p>
    <w:p>
      <w:pPr>
        <w:pStyle w:val="23"/>
        <w:spacing w:line="276" w:lineRule="auto"/>
        <w:jc w:val="both"/>
        <w:rPr>
          <w:rFonts w:ascii="Bookman Old Style" w:hAnsi="Bookman Old Style" w:eastAsia="Bookman Old Style" w:cs="Bookman Old Style"/>
        </w:rPr>
      </w:pPr>
    </w:p>
    <w:p>
      <w:pPr>
        <w:pStyle w:val="23"/>
        <w:spacing w:line="276" w:lineRule="auto"/>
        <w:jc w:val="both"/>
        <w:rPr>
          <w:rFonts w:ascii="Bookman Old Style" w:hAnsi="Bookman Old Style" w:eastAsia="Bookman Old Style" w:cs="Bookman Old Style"/>
        </w:rPr>
      </w:pPr>
      <w:r>
        <w:rPr>
          <w:rFonts w:ascii="Bookman Old Style" w:hAnsi="Bookman Old Style" w:eastAsia="Bookman Old Style" w:cs="Bookman Old Style"/>
        </w:rPr>
        <w:t xml:space="preserve"> </w:t>
      </w:r>
    </w:p>
    <w:p>
      <w:pPr>
        <w:pStyle w:val="23"/>
        <w:spacing w:line="276" w:lineRule="auto"/>
        <w:jc w:val="both"/>
        <w:rPr>
          <w:rFonts w:ascii="Bookman Old Style" w:hAnsi="Bookman Old Style" w:eastAsia="Bookman Old Style" w:cs="Bookman Old Style"/>
        </w:rPr>
      </w:pPr>
    </w:p>
    <w:p>
      <w:pPr>
        <w:pStyle w:val="23"/>
        <w:spacing w:line="276" w:lineRule="auto"/>
        <w:jc w:val="both"/>
        <w:rPr>
          <w:rFonts w:ascii="Bookman Old Style" w:hAnsi="Bookman Old Style" w:eastAsia="Bookman Old Style" w:cs="Bookman Old Style"/>
        </w:rPr>
      </w:pPr>
    </w:p>
    <w:p>
      <w:pPr>
        <w:pStyle w:val="23"/>
        <w:spacing w:line="276" w:lineRule="auto"/>
        <w:jc w:val="both"/>
        <w:rPr>
          <w:rFonts w:ascii="Bookman Old Style" w:hAnsi="Bookman Old Style" w:eastAsia="Bookman Old Style" w:cs="Bookman Old Style"/>
        </w:rPr>
      </w:pPr>
    </w:p>
    <w:p>
      <w:pPr>
        <w:pStyle w:val="23"/>
        <w:spacing w:line="276" w:lineRule="auto"/>
        <w:jc w:val="both"/>
        <w:rPr>
          <w:rFonts w:ascii="Bookman Old Style" w:hAnsi="Bookman Old Style" w:eastAsia="Bookman Old Style" w:cs="Bookman Old Style"/>
        </w:rPr>
      </w:pPr>
    </w:p>
    <w:p>
      <w:pPr>
        <w:pStyle w:val="23"/>
        <w:spacing w:line="276" w:lineRule="auto"/>
        <w:jc w:val="both"/>
        <w:rPr>
          <w:rFonts w:ascii="Bookman Old Style" w:hAnsi="Bookman Old Style" w:eastAsia="Bookman Old Style" w:cs="Bookman Old Style"/>
        </w:rPr>
      </w:pPr>
    </w:p>
    <w:p>
      <w:pPr>
        <w:pStyle w:val="23"/>
        <w:spacing w:line="276" w:lineRule="auto"/>
        <w:jc w:val="both"/>
        <w:rPr>
          <w:rFonts w:ascii="Bookman Old Style" w:hAnsi="Bookman Old Style" w:eastAsia="Bookman Old Style" w:cs="Bookman Old Style"/>
        </w:rPr>
      </w:pPr>
    </w:p>
    <w:p>
      <w:pPr>
        <w:pStyle w:val="23"/>
        <w:spacing w:line="276" w:lineRule="auto"/>
        <w:jc w:val="both"/>
        <w:rPr>
          <w:rFonts w:ascii="Bookman Old Style" w:hAnsi="Bookman Old Style" w:eastAsia="Bookman Old Style" w:cs="Bookman Old Style"/>
        </w:rPr>
      </w:pPr>
    </w:p>
    <w:p>
      <w:pPr>
        <w:pStyle w:val="23"/>
        <w:spacing w:line="276" w:lineRule="auto"/>
        <w:jc w:val="both"/>
        <w:rPr>
          <w:rFonts w:ascii="Bookman Old Style" w:hAnsi="Bookman Old Style" w:eastAsia="Bookman Old Style" w:cs="Bookman Old Style"/>
        </w:rPr>
      </w:pPr>
    </w:p>
    <w:p>
      <w:pPr>
        <w:pStyle w:val="23"/>
        <w:spacing w:line="276" w:lineRule="auto"/>
        <w:jc w:val="both"/>
        <w:rPr>
          <w:rFonts w:ascii="Bookman Old Style" w:hAnsi="Bookman Old Style" w:eastAsia="Bookman Old Style" w:cs="Bookman Old Style"/>
        </w:rPr>
      </w:pPr>
    </w:p>
    <w:p>
      <w:pPr>
        <w:jc w:val="both"/>
        <w:rPr>
          <w:rFonts w:ascii="Bookman Old Style" w:hAnsi="Bookman Old Style" w:eastAsia="Bookman Old Style" w:cs="Bookman Old Style"/>
          <w:b/>
        </w:rPr>
      </w:pPr>
      <w:r>
        <w:rPr>
          <w:rFonts w:ascii="Bookman Old Style" w:hAnsi="Bookman Old Style" w:eastAsia="Bookman Old Style" w:cs="Bookman Old Style"/>
          <w:b/>
        </w:rPr>
        <w:t>Table 2: Quarter-on-quarter seasonally adjusted growth rates in 2022Q3</w:t>
      </w:r>
    </w:p>
    <w:tbl>
      <w:tblPr>
        <w:tblStyle w:val="19"/>
        <w:tblW w:w="9733" w:type="dxa"/>
        <w:tblInd w:w="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1534"/>
        <w:gridCol w:w="3638"/>
        <w:gridCol w:w="1108"/>
        <w:gridCol w:w="2426"/>
        <w:gridCol w:w="1027"/>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195" w:hRule="atLeast"/>
        </w:trPr>
        <w:tc>
          <w:tcPr>
            <w:tcW w:w="1534" w:type="dxa"/>
            <w:tcBorders>
              <w:top w:val="single" w:color="000000" w:sz="4" w:space="0"/>
              <w:bottom w:val="single" w:color="000000" w:sz="4" w:space="0"/>
              <w:right w:val="single" w:color="000000" w:sz="4" w:space="0"/>
            </w:tcBorders>
          </w:tcPr>
          <w:p>
            <w:pPr>
              <w:jc w:val="both"/>
              <w:rPr>
                <w:rFonts w:ascii="Bookman Old Style" w:hAnsi="Bookman Old Style" w:eastAsia="Bookman Old Style" w:cs="Bookman Old Style"/>
                <w:b/>
                <w:color w:val="auto"/>
                <w:sz w:val="26"/>
                <w:szCs w:val="26"/>
              </w:rPr>
            </w:pPr>
            <w:r>
              <w:rPr>
                <w:rFonts w:ascii="Bookman Old Style" w:hAnsi="Bookman Old Style" w:eastAsia="Bookman Old Style" w:cs="Bookman Old Style"/>
                <w:b/>
                <w:color w:val="auto"/>
                <w:sz w:val="26"/>
                <w:szCs w:val="26"/>
              </w:rPr>
              <w:t>Sector</w:t>
            </w:r>
          </w:p>
        </w:tc>
        <w:tc>
          <w:tcPr>
            <w:tcW w:w="3638" w:type="dxa"/>
            <w:tcBorders>
              <w:top w:val="single" w:color="000000" w:sz="4" w:space="0"/>
              <w:left w:val="single" w:color="000000" w:sz="4" w:space="0"/>
              <w:bottom w:val="single" w:color="000000" w:sz="4" w:space="0"/>
            </w:tcBorders>
          </w:tcPr>
          <w:p>
            <w:pPr>
              <w:jc w:val="both"/>
              <w:rPr>
                <w:rFonts w:ascii="Bookman Old Style" w:hAnsi="Bookman Old Style" w:eastAsia="Bookman Old Style" w:cs="Bookman Old Style"/>
                <w:b/>
                <w:color w:val="auto"/>
                <w:sz w:val="26"/>
                <w:szCs w:val="26"/>
              </w:rPr>
            </w:pPr>
            <w:r>
              <w:rPr>
                <w:rFonts w:ascii="Bookman Old Style" w:hAnsi="Bookman Old Style" w:eastAsia="Bookman Old Style" w:cs="Bookman Old Style"/>
                <w:b/>
                <w:color w:val="auto"/>
                <w:sz w:val="26"/>
                <w:szCs w:val="26"/>
              </w:rPr>
              <w:t>Expanding sub-sectors</w:t>
            </w:r>
          </w:p>
        </w:tc>
        <w:tc>
          <w:tcPr>
            <w:tcW w:w="1108" w:type="dxa"/>
            <w:tcBorders>
              <w:top w:val="single" w:color="000000" w:sz="4" w:space="0"/>
              <w:bottom w:val="single" w:color="000000" w:sz="4" w:space="0"/>
              <w:right w:val="single" w:color="000000" w:sz="4" w:space="0"/>
            </w:tcBorders>
          </w:tcPr>
          <w:p>
            <w:pPr>
              <w:jc w:val="both"/>
              <w:rPr>
                <w:rFonts w:ascii="Bookman Old Style" w:hAnsi="Bookman Old Style" w:eastAsia="Bookman Old Style" w:cs="Bookman Old Style"/>
                <w:b/>
                <w:color w:val="auto"/>
                <w:sz w:val="26"/>
                <w:szCs w:val="26"/>
              </w:rPr>
            </w:pPr>
          </w:p>
        </w:tc>
        <w:tc>
          <w:tcPr>
            <w:tcW w:w="3453" w:type="dxa"/>
            <w:gridSpan w:val="2"/>
            <w:tcBorders>
              <w:top w:val="single" w:color="000000" w:sz="4" w:space="0"/>
              <w:left w:val="single" w:color="000000" w:sz="4" w:space="0"/>
              <w:bottom w:val="single" w:color="000000" w:sz="4" w:space="0"/>
            </w:tcBorders>
          </w:tcPr>
          <w:p>
            <w:pPr>
              <w:jc w:val="both"/>
              <w:rPr>
                <w:rFonts w:ascii="Bookman Old Style" w:hAnsi="Bookman Old Style" w:eastAsia="Bookman Old Style" w:cs="Bookman Old Style"/>
                <w:b/>
                <w:color w:val="auto"/>
                <w:sz w:val="26"/>
                <w:szCs w:val="26"/>
              </w:rPr>
            </w:pPr>
            <w:r>
              <w:rPr>
                <w:rFonts w:ascii="Bookman Old Style" w:hAnsi="Bookman Old Style" w:eastAsia="Bookman Old Style" w:cs="Bookman Old Style"/>
                <w:b/>
                <w:color w:val="auto"/>
                <w:sz w:val="26"/>
                <w:szCs w:val="26"/>
              </w:rPr>
              <w:t>Contracting sub-sectors</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1366" w:hRule="atLeast"/>
        </w:trPr>
        <w:tc>
          <w:tcPr>
            <w:tcW w:w="1534" w:type="dxa"/>
            <w:tcBorders>
              <w:top w:val="single" w:color="000000" w:sz="4" w:space="0"/>
              <w:bottom w:val="single" w:color="000000" w:sz="4" w:space="0"/>
              <w:right w:val="single" w:color="000000" w:sz="4" w:space="0"/>
            </w:tcBorders>
          </w:tcPr>
          <w:p>
            <w:pPr>
              <w:jc w:val="both"/>
              <w:rPr>
                <w:rFonts w:ascii="Bookman Old Style" w:hAnsi="Bookman Old Style" w:eastAsia="Bookman Old Style" w:cs="Bookman Old Style"/>
                <w:color w:val="auto"/>
                <w:sz w:val="22"/>
                <w:szCs w:val="22"/>
              </w:rPr>
            </w:pPr>
          </w:p>
          <w:p>
            <w:pPr>
              <w:jc w:val="cente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Agriculture</w:t>
            </w:r>
          </w:p>
          <w:p>
            <w:pPr>
              <w:jc w:val="cente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(1.0%)</w:t>
            </w:r>
          </w:p>
          <w:p>
            <w:pPr>
              <w:rPr>
                <w:rFonts w:ascii="Bookman Old Style" w:hAnsi="Bookman Old Style" w:eastAsia="Bookman Old Style" w:cs="Bookman Old Style"/>
                <w:color w:val="000000"/>
                <w:sz w:val="22"/>
                <w:szCs w:val="22"/>
              </w:rPr>
            </w:pPr>
          </w:p>
        </w:tc>
        <w:tc>
          <w:tcPr>
            <w:tcW w:w="3638" w:type="dxa"/>
            <w:tcBorders>
              <w:top w:val="single" w:color="000000" w:sz="4" w:space="0"/>
              <w:left w:val="single" w:color="000000" w:sz="4" w:space="0"/>
              <w:bottom w:val="single" w:color="000000" w:sz="4" w:space="0"/>
            </w:tcBorders>
          </w:tcPr>
          <w:p>
            <w:pPr>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 xml:space="preserve">Fishing </w:t>
            </w: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Livestock</w:t>
            </w: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auto"/>
                <w:sz w:val="22"/>
                <w:szCs w:val="22"/>
              </w:rPr>
              <w:t>Forestry &amp; Logging</w:t>
            </w: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 xml:space="preserve">Crops and Cocoa </w:t>
            </w:r>
          </w:p>
        </w:tc>
        <w:tc>
          <w:tcPr>
            <w:tcW w:w="1108" w:type="dxa"/>
            <w:tcBorders>
              <w:top w:val="single" w:color="000000" w:sz="4" w:space="0"/>
              <w:bottom w:val="single" w:color="000000" w:sz="4" w:space="0"/>
              <w:right w:val="single" w:color="000000" w:sz="4" w:space="0"/>
            </w:tcBorders>
          </w:tcPr>
          <w:p>
            <w:pPr>
              <w:spacing w:line="480" w:lineRule="auto"/>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2.7%</w:t>
            </w:r>
          </w:p>
          <w:p>
            <w:pPr>
              <w:spacing w:line="480" w:lineRule="auto"/>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1.1%</w:t>
            </w:r>
          </w:p>
          <w:p>
            <w:pPr>
              <w:spacing w:line="480" w:lineRule="auto"/>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1.1%</w:t>
            </w:r>
          </w:p>
          <w:p>
            <w:pPr>
              <w:spacing w:line="480" w:lineRule="auto"/>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0.9%</w:t>
            </w:r>
          </w:p>
        </w:tc>
        <w:tc>
          <w:tcPr>
            <w:tcW w:w="2426" w:type="dxa"/>
            <w:tcBorders>
              <w:top w:val="single" w:color="000000" w:sz="4" w:space="0"/>
              <w:left w:val="single" w:color="000000" w:sz="4" w:space="0"/>
              <w:bottom w:val="single" w:color="000000" w:sz="4" w:space="0"/>
            </w:tcBorders>
          </w:tcPr>
          <w:p>
            <w:pPr>
              <w:spacing w:line="360" w:lineRule="auto"/>
              <w:jc w:val="both"/>
              <w:rPr>
                <w:rFonts w:ascii="Bookman Old Style" w:hAnsi="Bookman Old Style" w:eastAsia="Bookman Old Style" w:cs="Bookman Old Style"/>
                <w:color w:val="auto"/>
                <w:sz w:val="22"/>
                <w:szCs w:val="22"/>
              </w:rPr>
            </w:pPr>
          </w:p>
          <w:p>
            <w:pPr>
              <w:spacing w:line="360" w:lineRule="auto"/>
              <w:jc w:val="both"/>
              <w:rPr>
                <w:rFonts w:ascii="Bookman Old Style" w:hAnsi="Bookman Old Style" w:eastAsia="Bookman Old Style" w:cs="Bookman Old Style"/>
                <w:color w:val="auto"/>
                <w:sz w:val="22"/>
                <w:szCs w:val="22"/>
              </w:rPr>
            </w:pPr>
          </w:p>
          <w:p>
            <w:pPr>
              <w:spacing w:line="360" w:lineRule="auto"/>
              <w:jc w:val="both"/>
              <w:rPr>
                <w:rFonts w:ascii="Bookman Old Style" w:hAnsi="Bookman Old Style" w:eastAsia="Bookman Old Style" w:cs="Bookman Old Style"/>
                <w:color w:val="auto"/>
                <w:sz w:val="22"/>
                <w:szCs w:val="22"/>
              </w:rPr>
            </w:pPr>
          </w:p>
        </w:tc>
        <w:tc>
          <w:tcPr>
            <w:tcW w:w="1026" w:type="dxa"/>
            <w:tcBorders>
              <w:top w:val="single" w:color="000000" w:sz="4" w:space="0"/>
              <w:bottom w:val="single" w:color="000000" w:sz="4" w:space="0"/>
            </w:tcBorders>
          </w:tcPr>
          <w:p>
            <w:pPr>
              <w:jc w:val="both"/>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 xml:space="preserve"> </w:t>
            </w:r>
          </w:p>
          <w:p>
            <w:pPr>
              <w:jc w:val="both"/>
              <w:rPr>
                <w:rFonts w:ascii="Bookman Old Style" w:hAnsi="Bookman Old Style" w:eastAsia="Bookman Old Style" w:cs="Bookman Old Style"/>
                <w:color w:val="auto"/>
                <w:sz w:val="22"/>
                <w:szCs w:val="22"/>
              </w:rPr>
            </w:pPr>
          </w:p>
          <w:p>
            <w:pPr>
              <w:jc w:val="both"/>
              <w:rPr>
                <w:rFonts w:ascii="Bookman Old Style" w:hAnsi="Bookman Old Style" w:eastAsia="Bookman Old Style" w:cs="Bookman Old Style"/>
                <w:color w:val="auto"/>
                <w:sz w:val="22"/>
                <w:szCs w:val="22"/>
              </w:rPr>
            </w:pPr>
          </w:p>
          <w:p>
            <w:pPr>
              <w:jc w:val="both"/>
              <w:rPr>
                <w:rFonts w:ascii="Bookman Old Style" w:hAnsi="Bookman Old Style" w:eastAsia="Bookman Old Style" w:cs="Bookman Old Style"/>
                <w:color w:val="auto"/>
                <w:sz w:val="22"/>
                <w:szCs w:val="22"/>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868" w:hRule="atLeast"/>
        </w:trPr>
        <w:tc>
          <w:tcPr>
            <w:tcW w:w="1534" w:type="dxa"/>
            <w:tcBorders>
              <w:top w:val="single" w:color="000000" w:sz="4" w:space="0"/>
              <w:bottom w:val="single" w:color="000000" w:sz="4" w:space="0"/>
              <w:right w:val="single" w:color="000000" w:sz="4" w:space="0"/>
            </w:tcBorders>
          </w:tcPr>
          <w:p>
            <w:pPr>
              <w:jc w:val="both"/>
              <w:rPr>
                <w:rFonts w:ascii="Bookman Old Style" w:hAnsi="Bookman Old Style" w:eastAsia="Bookman Old Style" w:cs="Bookman Old Style"/>
                <w:color w:val="auto"/>
                <w:sz w:val="22"/>
                <w:szCs w:val="22"/>
              </w:rPr>
            </w:pPr>
          </w:p>
          <w:p>
            <w:pPr>
              <w:jc w:val="both"/>
              <w:rPr>
                <w:rFonts w:ascii="Bookman Old Style" w:hAnsi="Bookman Old Style" w:eastAsia="Bookman Old Style" w:cs="Bookman Old Style"/>
                <w:color w:val="auto"/>
                <w:sz w:val="22"/>
                <w:szCs w:val="22"/>
              </w:rPr>
            </w:pPr>
          </w:p>
          <w:p>
            <w:pPr>
              <w:jc w:val="both"/>
              <w:rPr>
                <w:rFonts w:ascii="Bookman Old Style" w:hAnsi="Bookman Old Style" w:eastAsia="Bookman Old Style" w:cs="Bookman Old Style"/>
                <w:color w:val="auto"/>
                <w:sz w:val="22"/>
                <w:szCs w:val="22"/>
              </w:rPr>
            </w:pPr>
          </w:p>
          <w:p>
            <w:pPr>
              <w:jc w:val="both"/>
              <w:rPr>
                <w:rFonts w:ascii="Bookman Old Style" w:hAnsi="Bookman Old Style" w:eastAsia="Bookman Old Style" w:cs="Bookman Old Style"/>
                <w:color w:val="auto"/>
                <w:sz w:val="22"/>
                <w:szCs w:val="22"/>
              </w:rPr>
            </w:pPr>
          </w:p>
          <w:p>
            <w:pPr>
              <w:jc w:val="cente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Industry     (0.2%)</w:t>
            </w:r>
          </w:p>
        </w:tc>
        <w:tc>
          <w:tcPr>
            <w:tcW w:w="3638" w:type="dxa"/>
            <w:tcBorders>
              <w:top w:val="single" w:color="000000" w:sz="4" w:space="0"/>
              <w:left w:val="single" w:color="000000" w:sz="4" w:space="0"/>
              <w:bottom w:val="single" w:color="000000" w:sz="4" w:space="0"/>
            </w:tcBorders>
          </w:tcPr>
          <w:p>
            <w:pP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 xml:space="preserve"> Mining &amp; Quarrying</w:t>
            </w:r>
          </w:p>
          <w:p>
            <w:pPr>
              <w:rPr>
                <w:rFonts w:ascii="Bookman Old Style" w:hAnsi="Bookman Old Style" w:eastAsia="Bookman Old Style" w:cs="Bookman Old Style"/>
                <w:color w:val="auto"/>
                <w:sz w:val="22"/>
                <w:szCs w:val="22"/>
              </w:rPr>
            </w:pPr>
          </w:p>
          <w:p>
            <w:pPr>
              <w:rPr>
                <w:rFonts w:ascii="Bookman Old Style" w:hAnsi="Bookman Old Style" w:eastAsia="Bookman Old Style" w:cs="Bookman Old Style"/>
                <w:color w:val="000000"/>
                <w:sz w:val="22"/>
                <w:szCs w:val="22"/>
              </w:rPr>
            </w:pPr>
          </w:p>
        </w:tc>
        <w:tc>
          <w:tcPr>
            <w:tcW w:w="1108" w:type="dxa"/>
            <w:tcBorders>
              <w:top w:val="single" w:color="000000" w:sz="4" w:space="0"/>
              <w:bottom w:val="single" w:color="000000" w:sz="4" w:space="0"/>
              <w:right w:val="single" w:color="000000" w:sz="4" w:space="0"/>
            </w:tcBorders>
          </w:tcPr>
          <w:p>
            <w:pPr>
              <w:spacing w:line="276" w:lineRule="auto"/>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3.6%</w:t>
            </w:r>
          </w:p>
          <w:p>
            <w:pPr>
              <w:spacing w:line="276" w:lineRule="auto"/>
              <w:rPr>
                <w:rFonts w:ascii="Bookman Old Style" w:hAnsi="Bookman Old Style" w:eastAsia="Bookman Old Style" w:cs="Bookman Old Style"/>
                <w:color w:val="000000"/>
                <w:sz w:val="22"/>
                <w:szCs w:val="22"/>
              </w:rPr>
            </w:pPr>
          </w:p>
          <w:p>
            <w:pPr>
              <w:spacing w:line="276" w:lineRule="auto"/>
              <w:rPr>
                <w:rFonts w:ascii="Bookman Old Style" w:hAnsi="Bookman Old Style" w:eastAsia="Bookman Old Style" w:cs="Bookman Old Style"/>
                <w:color w:val="000000"/>
                <w:sz w:val="22"/>
                <w:szCs w:val="22"/>
              </w:rPr>
            </w:pPr>
          </w:p>
        </w:tc>
        <w:tc>
          <w:tcPr>
            <w:tcW w:w="2426" w:type="dxa"/>
            <w:tcBorders>
              <w:top w:val="single" w:color="000000" w:sz="4" w:space="0"/>
              <w:left w:val="single" w:color="000000" w:sz="4" w:space="0"/>
              <w:bottom w:val="single" w:color="000000" w:sz="4" w:space="0"/>
            </w:tcBorders>
          </w:tcPr>
          <w:p>
            <w:pP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 xml:space="preserve"> Manufacturing</w:t>
            </w:r>
          </w:p>
          <w:p>
            <w:pPr>
              <w:rPr>
                <w:rFonts w:ascii="Bookman Old Style" w:hAnsi="Bookman Old Style" w:eastAsia="Bookman Old Style" w:cs="Bookman Old Style"/>
                <w:color w:val="auto"/>
                <w:sz w:val="22"/>
                <w:szCs w:val="22"/>
              </w:rPr>
            </w:pPr>
          </w:p>
          <w:p>
            <w:pPr>
              <w:rPr>
                <w:rFonts w:ascii="Bookman Old Style" w:hAnsi="Bookman Old Style" w:eastAsia="Bookman Old Style" w:cs="Bookman Old Style"/>
                <w:color w:val="auto"/>
                <w:sz w:val="22"/>
                <w:szCs w:val="22"/>
              </w:rPr>
            </w:pPr>
          </w:p>
          <w:p>
            <w:pP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 xml:space="preserve">Construction </w:t>
            </w:r>
          </w:p>
          <w:p>
            <w:pP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 xml:space="preserve">                                   </w:t>
            </w:r>
          </w:p>
          <w:p>
            <w:pP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Electricity</w:t>
            </w:r>
          </w:p>
          <w:p>
            <w:pPr>
              <w:rPr>
                <w:rFonts w:ascii="Bookman Old Style" w:hAnsi="Bookman Old Style" w:eastAsia="Bookman Old Style" w:cs="Bookman Old Style"/>
                <w:color w:val="auto"/>
                <w:sz w:val="22"/>
                <w:szCs w:val="22"/>
              </w:rPr>
            </w:pPr>
          </w:p>
          <w:p>
            <w:pP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Water Supply, Sewerage, Waste Management &amp; Remediation Activities</w:t>
            </w:r>
          </w:p>
        </w:tc>
        <w:tc>
          <w:tcPr>
            <w:tcW w:w="1026" w:type="dxa"/>
            <w:tcBorders>
              <w:top w:val="single" w:color="000000" w:sz="4" w:space="0"/>
              <w:bottom w:val="single" w:color="000000" w:sz="4" w:space="0"/>
            </w:tcBorders>
          </w:tcPr>
          <w:p>
            <w:pPr>
              <w:tabs>
                <w:tab w:val="left" w:pos="768"/>
              </w:tabs>
              <w:spacing w:line="360" w:lineRule="auto"/>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 xml:space="preserve"> -1.8%</w:t>
            </w:r>
          </w:p>
          <w:p>
            <w:pPr>
              <w:tabs>
                <w:tab w:val="left" w:pos="768"/>
              </w:tabs>
              <w:spacing w:line="360" w:lineRule="auto"/>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 xml:space="preserve"> -1.8%</w:t>
            </w: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 xml:space="preserve">  -1.0%</w:t>
            </w: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 xml:space="preserve"> -0.9%</w:t>
            </w: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3945" w:hRule="atLeast"/>
        </w:trPr>
        <w:tc>
          <w:tcPr>
            <w:tcW w:w="1534" w:type="dxa"/>
            <w:tcBorders>
              <w:top w:val="single" w:color="000000" w:sz="4" w:space="0"/>
              <w:bottom w:val="single" w:color="000000" w:sz="4" w:space="0"/>
              <w:right w:val="single" w:color="000000" w:sz="4" w:space="0"/>
            </w:tcBorders>
          </w:tcPr>
          <w:p>
            <w:pPr>
              <w:jc w:val="both"/>
              <w:rPr>
                <w:rFonts w:ascii="Bookman Old Style" w:hAnsi="Bookman Old Style" w:eastAsia="Bookman Old Style" w:cs="Bookman Old Style"/>
                <w:color w:val="auto"/>
                <w:sz w:val="22"/>
                <w:szCs w:val="22"/>
              </w:rPr>
            </w:pPr>
          </w:p>
          <w:p>
            <w:pPr>
              <w:jc w:val="both"/>
              <w:rPr>
                <w:rFonts w:ascii="Bookman Old Style" w:hAnsi="Bookman Old Style" w:eastAsia="Bookman Old Style" w:cs="Bookman Old Style"/>
                <w:color w:val="auto"/>
                <w:sz w:val="22"/>
                <w:szCs w:val="22"/>
              </w:rPr>
            </w:pPr>
          </w:p>
          <w:p>
            <w:pPr>
              <w:jc w:val="both"/>
              <w:rPr>
                <w:rFonts w:ascii="Bookman Old Style" w:hAnsi="Bookman Old Style" w:eastAsia="Bookman Old Style" w:cs="Bookman Old Style"/>
                <w:color w:val="auto"/>
                <w:sz w:val="22"/>
                <w:szCs w:val="22"/>
              </w:rPr>
            </w:pPr>
          </w:p>
          <w:p>
            <w:pPr>
              <w:jc w:val="both"/>
              <w:rPr>
                <w:rFonts w:ascii="Bookman Old Style" w:hAnsi="Bookman Old Style" w:eastAsia="Bookman Old Style" w:cs="Bookman Old Style"/>
                <w:color w:val="auto"/>
                <w:sz w:val="22"/>
                <w:szCs w:val="22"/>
              </w:rPr>
            </w:pPr>
          </w:p>
          <w:p>
            <w:pPr>
              <w:jc w:val="both"/>
              <w:rPr>
                <w:rFonts w:ascii="Bookman Old Style" w:hAnsi="Bookman Old Style" w:eastAsia="Bookman Old Style" w:cs="Bookman Old Style"/>
                <w:color w:val="auto"/>
                <w:sz w:val="22"/>
                <w:szCs w:val="22"/>
              </w:rPr>
            </w:pPr>
          </w:p>
          <w:p>
            <w:pPr>
              <w:jc w:val="both"/>
              <w:rPr>
                <w:rFonts w:ascii="Bookman Old Style" w:hAnsi="Bookman Old Style" w:eastAsia="Bookman Old Style" w:cs="Bookman Old Style"/>
                <w:color w:val="auto"/>
                <w:sz w:val="22"/>
                <w:szCs w:val="22"/>
              </w:rPr>
            </w:pPr>
          </w:p>
          <w:p>
            <w:pPr>
              <w:jc w:val="both"/>
              <w:rPr>
                <w:rFonts w:ascii="Bookman Old Style" w:hAnsi="Bookman Old Style" w:eastAsia="Bookman Old Style" w:cs="Bookman Old Style"/>
                <w:color w:val="auto"/>
                <w:sz w:val="22"/>
                <w:szCs w:val="22"/>
              </w:rPr>
            </w:pPr>
          </w:p>
          <w:p>
            <w:pPr>
              <w:jc w:val="both"/>
              <w:rPr>
                <w:rFonts w:ascii="Bookman Old Style" w:hAnsi="Bookman Old Style" w:eastAsia="Bookman Old Style" w:cs="Bookman Old Style"/>
                <w:color w:val="auto"/>
                <w:sz w:val="22"/>
                <w:szCs w:val="22"/>
              </w:rPr>
            </w:pPr>
          </w:p>
          <w:p>
            <w:pPr>
              <w:jc w:val="both"/>
              <w:rPr>
                <w:rFonts w:ascii="Bookman Old Style" w:hAnsi="Bookman Old Style" w:eastAsia="Bookman Old Style" w:cs="Bookman Old Style"/>
                <w:color w:val="auto"/>
                <w:sz w:val="22"/>
                <w:szCs w:val="22"/>
              </w:rPr>
            </w:pPr>
          </w:p>
          <w:p>
            <w:pPr>
              <w:jc w:val="cente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Services (1.0%)</w:t>
            </w:r>
          </w:p>
        </w:tc>
        <w:tc>
          <w:tcPr>
            <w:tcW w:w="3638" w:type="dxa"/>
            <w:tcBorders>
              <w:top w:val="single" w:color="000000" w:sz="4" w:space="0"/>
              <w:left w:val="single" w:color="000000" w:sz="4" w:space="0"/>
              <w:bottom w:val="single" w:color="000000" w:sz="4" w:space="0"/>
            </w:tcBorders>
          </w:tcPr>
          <w:p>
            <w:pPr>
              <w:jc w:val="both"/>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Information &amp; Communication</w:t>
            </w:r>
          </w:p>
          <w:p>
            <w:pPr>
              <w:jc w:val="both"/>
              <w:rPr>
                <w:rFonts w:ascii="Bookman Old Style" w:hAnsi="Bookman Old Style" w:eastAsia="Bookman Old Style" w:cs="Bookman Old Style"/>
                <w:color w:val="auto"/>
                <w:sz w:val="22"/>
                <w:szCs w:val="22"/>
              </w:rPr>
            </w:pPr>
          </w:p>
          <w:p>
            <w:pPr>
              <w:jc w:val="both"/>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Education</w:t>
            </w:r>
          </w:p>
          <w:p>
            <w:pPr>
              <w:jc w:val="both"/>
              <w:rPr>
                <w:rFonts w:ascii="Bookman Old Style" w:hAnsi="Bookman Old Style" w:eastAsia="Bookman Old Style" w:cs="Bookman Old Style"/>
                <w:color w:val="auto"/>
                <w:sz w:val="22"/>
                <w:szCs w:val="22"/>
              </w:rPr>
            </w:pPr>
          </w:p>
          <w:p>
            <w:pP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Health &amp; Social Work</w:t>
            </w:r>
          </w:p>
          <w:p>
            <w:pPr>
              <w:jc w:val="both"/>
              <w:rPr>
                <w:rFonts w:ascii="Bookman Old Style" w:hAnsi="Bookman Old Style" w:eastAsia="Bookman Old Style" w:cs="Bookman Old Style"/>
                <w:color w:val="auto"/>
                <w:sz w:val="22"/>
                <w:szCs w:val="22"/>
              </w:rPr>
            </w:pPr>
          </w:p>
          <w:p>
            <w:pPr>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 xml:space="preserve">Transport and Storage                </w:t>
            </w:r>
          </w:p>
          <w:p>
            <w:pPr>
              <w:jc w:val="both"/>
              <w:rPr>
                <w:rFonts w:ascii="Bookman Old Style" w:hAnsi="Bookman Old Style" w:eastAsia="Bookman Old Style" w:cs="Bookman Old Style"/>
                <w:color w:val="auto"/>
                <w:sz w:val="22"/>
                <w:szCs w:val="22"/>
              </w:rPr>
            </w:pPr>
          </w:p>
          <w:p>
            <w:pPr>
              <w:jc w:val="both"/>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 xml:space="preserve">Public Administration &amp; </w:t>
            </w:r>
          </w:p>
          <w:p>
            <w:pP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Defence, Social Security</w:t>
            </w:r>
          </w:p>
          <w:p>
            <w:pPr>
              <w:rPr>
                <w:rFonts w:ascii="Bookman Old Style" w:hAnsi="Bookman Old Style" w:eastAsia="Bookman Old Style" w:cs="Bookman Old Style"/>
                <w:color w:val="000000"/>
                <w:sz w:val="22"/>
                <w:szCs w:val="22"/>
              </w:rPr>
            </w:pPr>
          </w:p>
          <w:p>
            <w:pPr>
              <w:jc w:val="both"/>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Finance &amp; Insurance</w:t>
            </w: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auto"/>
                <w:sz w:val="22"/>
                <w:szCs w:val="22"/>
              </w:rPr>
            </w:pPr>
          </w:p>
        </w:tc>
        <w:tc>
          <w:tcPr>
            <w:tcW w:w="1108" w:type="dxa"/>
            <w:tcBorders>
              <w:top w:val="single" w:color="000000" w:sz="4" w:space="0"/>
              <w:bottom w:val="single" w:color="000000" w:sz="4" w:space="0"/>
              <w:right w:val="single" w:color="000000" w:sz="4" w:space="0"/>
            </w:tcBorders>
          </w:tcPr>
          <w:p>
            <w:pPr>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4.0%</w:t>
            </w:r>
          </w:p>
          <w:p>
            <w:pPr>
              <w:rPr>
                <w:rFonts w:ascii="Bookman Old Style" w:hAnsi="Bookman Old Style" w:eastAsia="Bookman Old Style" w:cs="Bookman Old Style"/>
                <w:color w:val="000000"/>
                <w:sz w:val="22"/>
                <w:szCs w:val="22"/>
              </w:rPr>
            </w:pPr>
          </w:p>
          <w:p>
            <w:pPr>
              <w:jc w:val="both"/>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2.8%</w:t>
            </w:r>
          </w:p>
          <w:p>
            <w:pPr>
              <w:jc w:val="both"/>
              <w:rPr>
                <w:rFonts w:ascii="Bookman Old Style" w:hAnsi="Bookman Old Style" w:eastAsia="Bookman Old Style" w:cs="Bookman Old Style"/>
                <w:color w:val="000000"/>
                <w:sz w:val="22"/>
                <w:szCs w:val="22"/>
              </w:rPr>
            </w:pPr>
          </w:p>
          <w:p>
            <w:pPr>
              <w:jc w:val="both"/>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2.2%</w:t>
            </w:r>
          </w:p>
          <w:p>
            <w:pPr>
              <w:jc w:val="both"/>
              <w:rPr>
                <w:rFonts w:ascii="Bookman Old Style" w:hAnsi="Bookman Old Style" w:eastAsia="Bookman Old Style" w:cs="Bookman Old Style"/>
                <w:color w:val="000000"/>
                <w:sz w:val="22"/>
                <w:szCs w:val="22"/>
              </w:rPr>
            </w:pPr>
          </w:p>
          <w:p>
            <w:pPr>
              <w:jc w:val="both"/>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000000"/>
                <w:sz w:val="22"/>
                <w:szCs w:val="22"/>
              </w:rPr>
              <w:t>1.6%</w:t>
            </w:r>
          </w:p>
          <w:p>
            <w:pPr>
              <w:jc w:val="both"/>
              <w:rPr>
                <w:rFonts w:ascii="Bookman Old Style" w:hAnsi="Bookman Old Style" w:eastAsia="Bookman Old Style" w:cs="Bookman Old Style"/>
                <w:color w:val="auto"/>
                <w:sz w:val="22"/>
                <w:szCs w:val="22"/>
              </w:rPr>
            </w:pP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1.2%</w:t>
            </w: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1.1%</w:t>
            </w:r>
          </w:p>
        </w:tc>
        <w:tc>
          <w:tcPr>
            <w:tcW w:w="2426" w:type="dxa"/>
            <w:tcBorders>
              <w:top w:val="single" w:color="000000" w:sz="4" w:space="0"/>
              <w:left w:val="single" w:color="000000" w:sz="4" w:space="0"/>
            </w:tcBorders>
          </w:tcPr>
          <w:p>
            <w:pP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 xml:space="preserve">Professional, </w:t>
            </w:r>
          </w:p>
          <w:p>
            <w:pP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Administrative &amp; Support</w:t>
            </w: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000000"/>
                <w:sz w:val="22"/>
                <w:szCs w:val="22"/>
              </w:rPr>
              <w:t>Real Estate</w:t>
            </w:r>
          </w:p>
          <w:p>
            <w:pPr>
              <w:jc w:val="both"/>
              <w:rPr>
                <w:rFonts w:ascii="Bookman Old Style" w:hAnsi="Bookman Old Style" w:eastAsia="Bookman Old Style" w:cs="Bookman Old Style"/>
                <w:color w:val="auto"/>
                <w:sz w:val="22"/>
                <w:szCs w:val="22"/>
              </w:rPr>
            </w:pPr>
          </w:p>
          <w:p>
            <w:pP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Other Personal Service Activities</w:t>
            </w:r>
          </w:p>
          <w:p>
            <w:pPr>
              <w:jc w:val="both"/>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Hotels &amp; Restaurants</w:t>
            </w:r>
          </w:p>
          <w:p>
            <w:pPr>
              <w:jc w:val="both"/>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auto"/>
                <w:sz w:val="22"/>
                <w:szCs w:val="22"/>
              </w:rPr>
            </w:pPr>
            <w:r>
              <w:rPr>
                <w:rFonts w:ascii="Bookman Old Style" w:hAnsi="Bookman Old Style" w:eastAsia="Bookman Old Style" w:cs="Bookman Old Style"/>
                <w:color w:val="auto"/>
                <w:sz w:val="22"/>
                <w:szCs w:val="22"/>
              </w:rPr>
              <w:t>Trade; Repair of Vehicles, Household Goods</w:t>
            </w:r>
          </w:p>
        </w:tc>
        <w:tc>
          <w:tcPr>
            <w:tcW w:w="1026" w:type="dxa"/>
            <w:tcBorders>
              <w:top w:val="single" w:color="000000" w:sz="4" w:space="0"/>
            </w:tcBorders>
          </w:tcPr>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-3.9%</w:t>
            </w: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-3.0%</w:t>
            </w: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 xml:space="preserve">  -2.2%</w:t>
            </w: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 xml:space="preserve">  -1.2%</w:t>
            </w: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p>
          <w:p>
            <w:pPr>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 xml:space="preserve">  -0.5%</w:t>
            </w:r>
          </w:p>
          <w:p>
            <w:pPr>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 xml:space="preserve">    </w:t>
            </w:r>
          </w:p>
        </w:tc>
      </w:tr>
    </w:tbl>
    <w:p>
      <w:pPr>
        <w:tabs>
          <w:tab w:val="left" w:pos="1732"/>
        </w:tabs>
        <w:jc w:val="both"/>
        <w:rPr>
          <w:rFonts w:ascii="Bookman Old Style" w:hAnsi="Bookman Old Style" w:eastAsia="Bookman Old Style" w:cs="Bookman Old Style"/>
          <w:b/>
        </w:rPr>
      </w:pPr>
      <w:r>
        <w:rPr>
          <w:rFonts w:ascii="Bookman Old Style" w:hAnsi="Bookman Old Style" w:eastAsia="Bookman Old Style" w:cs="Bookman Old Style"/>
          <w:b/>
        </w:rPr>
        <w:tab/>
      </w:r>
    </w:p>
    <w:p>
      <w:pPr>
        <w:tabs>
          <w:tab w:val="left" w:pos="1732"/>
        </w:tabs>
        <w:jc w:val="both"/>
        <w:rPr>
          <w:rFonts w:ascii="Bookman Old Style" w:hAnsi="Bookman Old Style" w:eastAsia="Bookman Old Style" w:cs="Bookman Old Style"/>
        </w:rPr>
      </w:pPr>
    </w:p>
    <w:p>
      <w:pPr>
        <w:tabs>
          <w:tab w:val="left" w:pos="1732"/>
        </w:tabs>
        <w:jc w:val="both"/>
        <w:rPr>
          <w:rFonts w:ascii="Bookman Old Style" w:hAnsi="Bookman Old Style" w:eastAsia="Bookman Old Style" w:cs="Bookman Old Style"/>
        </w:rPr>
      </w:pPr>
    </w:p>
    <w:p>
      <w:pPr>
        <w:tabs>
          <w:tab w:val="left" w:pos="1732"/>
        </w:tabs>
        <w:jc w:val="both"/>
        <w:rPr>
          <w:rFonts w:ascii="Bookman Old Style" w:hAnsi="Bookman Old Style" w:eastAsia="Bookman Old Style" w:cs="Bookman Old Style"/>
        </w:rPr>
      </w:pPr>
    </w:p>
    <w:p>
      <w:pPr>
        <w:tabs>
          <w:tab w:val="left" w:pos="1732"/>
        </w:tabs>
        <w:jc w:val="both"/>
        <w:rPr>
          <w:rFonts w:ascii="Bookman Old Style" w:hAnsi="Bookman Old Style" w:eastAsia="Bookman Old Style" w:cs="Bookman Old Style"/>
        </w:rPr>
      </w:pPr>
    </w:p>
    <w:p>
      <w:pPr>
        <w:tabs>
          <w:tab w:val="left" w:pos="1732"/>
        </w:tabs>
        <w:jc w:val="both"/>
        <w:rPr>
          <w:rFonts w:ascii="Bookman Old Style" w:hAnsi="Bookman Old Style" w:eastAsia="Bookman Old Style" w:cs="Bookman Old Style"/>
        </w:rPr>
      </w:pPr>
    </w:p>
    <w:p>
      <w:pPr>
        <w:tabs>
          <w:tab w:val="left" w:pos="1732"/>
        </w:tabs>
        <w:jc w:val="both"/>
        <w:rPr>
          <w:rFonts w:eastAsia="Bookman Old Style"/>
        </w:rPr>
      </w:pPr>
    </w:p>
    <w:p>
      <w:pPr>
        <w:tabs>
          <w:tab w:val="left" w:pos="1732"/>
        </w:tabs>
        <w:jc w:val="both"/>
        <w:rPr>
          <w:rFonts w:eastAsia="Bookman Old Style"/>
        </w:rPr>
      </w:pPr>
    </w:p>
    <w:p>
      <w:pPr>
        <w:tabs>
          <w:tab w:val="left" w:pos="1732"/>
        </w:tabs>
        <w:jc w:val="both"/>
        <w:rPr>
          <w:rFonts w:eastAsia="Bookman Old Style"/>
        </w:rPr>
      </w:pPr>
    </w:p>
    <w:p>
      <w:pPr>
        <w:tabs>
          <w:tab w:val="left" w:pos="1732"/>
        </w:tabs>
        <w:jc w:val="both"/>
        <w:rPr>
          <w:rFonts w:eastAsia="Bookman Old Style"/>
        </w:rPr>
      </w:pPr>
    </w:p>
    <w:p>
      <w:pPr>
        <w:tabs>
          <w:tab w:val="left" w:pos="1732"/>
        </w:tabs>
        <w:jc w:val="both"/>
        <w:rPr>
          <w:rFonts w:eastAsia="Bookman Old Style"/>
        </w:rPr>
      </w:pPr>
      <w:r>
        <w:drawing>
          <wp:inline distT="0" distB="0" distL="114300" distR="114300">
            <wp:extent cx="6363335" cy="8524875"/>
            <wp:effectExtent l="0" t="0" r="18415"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0"/>
                    <a:stretch>
                      <a:fillRect/>
                    </a:stretch>
                  </pic:blipFill>
                  <pic:spPr>
                    <a:xfrm>
                      <a:off x="0" y="0"/>
                      <a:ext cx="6363335" cy="8524875"/>
                    </a:xfrm>
                    <a:prstGeom prst="rect">
                      <a:avLst/>
                    </a:prstGeom>
                    <a:noFill/>
                    <a:ln>
                      <a:noFill/>
                    </a:ln>
                  </pic:spPr>
                </pic:pic>
              </a:graphicData>
            </a:graphic>
          </wp:inline>
        </w:drawing>
      </w:r>
    </w:p>
    <w:p>
      <w:pPr>
        <w:tabs>
          <w:tab w:val="left" w:pos="1732"/>
        </w:tabs>
        <w:jc w:val="both"/>
        <w:rPr>
          <w:rFonts w:ascii="Bookman Old Style" w:hAnsi="Bookman Old Style" w:eastAsia="Bookman Old Style" w:cs="Bookman Old Style"/>
        </w:rPr>
      </w:pPr>
      <w:bookmarkStart w:id="1" w:name="_GoBack"/>
      <w:bookmarkEnd w:id="1"/>
      <w:r>
        <w:rPr>
          <w:rFonts w:eastAsia="Bookman Old Style"/>
        </w:rPr>
        <w:drawing>
          <wp:inline distT="0" distB="0" distL="0" distR="0">
            <wp:extent cx="6325870" cy="8921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329518" cy="8926895"/>
                    </a:xfrm>
                    <a:prstGeom prst="rect">
                      <a:avLst/>
                    </a:prstGeom>
                    <a:noFill/>
                    <a:ln>
                      <a:noFill/>
                    </a:ln>
                  </pic:spPr>
                </pic:pic>
              </a:graphicData>
            </a:graphic>
          </wp:inline>
        </w:drawing>
      </w:r>
    </w:p>
    <w:p>
      <w:pPr>
        <w:tabs>
          <w:tab w:val="left" w:pos="1732"/>
        </w:tabs>
        <w:jc w:val="both"/>
        <w:rPr>
          <w:rFonts w:ascii="Bookman Old Style" w:hAnsi="Bookman Old Style" w:eastAsia="Bookman Old Style" w:cs="Bookman Old Style"/>
        </w:rPr>
      </w:pPr>
    </w:p>
    <w:p>
      <w:pPr>
        <w:tabs>
          <w:tab w:val="left" w:pos="1732"/>
        </w:tabs>
        <w:jc w:val="both"/>
        <w:rPr>
          <w:rFonts w:ascii="Bookman Old Style" w:hAnsi="Bookman Old Style" w:eastAsia="Bookman Old Style" w:cs="Bookman Old Style"/>
        </w:rPr>
      </w:pPr>
      <w:bookmarkStart w:id="0" w:name="_gjdgxs" w:colFirst="0" w:colLast="0"/>
      <w:bookmarkEnd w:id="0"/>
      <w:r>
        <w:rPr>
          <w:rFonts w:eastAsia="Bookman Old Style"/>
        </w:rPr>
        <w:drawing>
          <wp:inline distT="0" distB="0" distL="0" distR="0">
            <wp:extent cx="6346190" cy="899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0080" cy="8997111"/>
                    </a:xfrm>
                    <a:prstGeom prst="rect">
                      <a:avLst/>
                    </a:prstGeom>
                    <a:noFill/>
                    <a:ln>
                      <a:noFill/>
                    </a:ln>
                  </pic:spPr>
                </pic:pic>
              </a:graphicData>
            </a:graphic>
          </wp:inline>
        </w:drawing>
      </w:r>
    </w:p>
    <w:sectPr>
      <w:footerReference r:id="rId4" w:type="default"/>
      <w:pgSz w:w="11906" w:h="16838"/>
      <w:pgMar w:top="1152" w:right="1080" w:bottom="1152" w:left="1080" w:header="706" w:footer="706" w:gutter="0"/>
      <w:pgNumType w:start="1"/>
      <w:cols w:space="720" w:num="1"/>
      <w:titlePg/>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Georgia">
    <w:panose1 w:val="02040502050405020303"/>
    <w:charset w:val="00"/>
    <w:family w:val="roman"/>
    <w:pitch w:val="default"/>
    <w:sig w:usb0="00000287" w:usb1="00000000" w:usb2="00000000" w:usb3="00000000" w:csb0="2000009F" w:csb1="00000000"/>
  </w:font>
  <w:font w:name="Bookman Old Style">
    <w:panose1 w:val="02050604050505020204"/>
    <w:charset w:val="00"/>
    <w:family w:val="roman"/>
    <w:pitch w:val="default"/>
    <w:sig w:usb0="00000287" w:usb1="00000000" w:usb2="00000000" w:usb3="00000000" w:csb0="2000009F" w:csb1="DFD70000"/>
  </w:font>
  <w:font w:name="Noto Sans Symbols">
    <w:altName w:val="Calibri"/>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320"/>
        <w:tab w:val="right" w:pos="8640"/>
      </w:tabs>
      <w:jc w:val="center"/>
      <w:rPr>
        <w:color w:val="000000"/>
      </w:rPr>
    </w:pPr>
    <w:r>
      <w:rPr>
        <w:color w:val="000000"/>
      </w:rPr>
      <w:fldChar w:fldCharType="begin"/>
    </w:r>
    <w:r>
      <w:rPr>
        <w:color w:val="000000"/>
      </w:rPr>
      <w:instrText xml:space="preserve">PAGE</w:instrText>
    </w:r>
    <w:r>
      <w:rPr>
        <w:color w:val="000000"/>
      </w:rPr>
      <w:fldChar w:fldCharType="separate"/>
    </w:r>
    <w:r>
      <w:rPr>
        <w:color w:val="000000"/>
      </w:rPr>
      <w:t>9</w:t>
    </w:r>
    <w:r>
      <w:rPr>
        <w:color w:val="000000"/>
      </w:rPr>
      <w:fldChar w:fldCharType="end"/>
    </w:r>
  </w:p>
  <w:p>
    <w:pP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pPr>
        <w:rPr>
          <w:color w:val="000000"/>
          <w:sz w:val="20"/>
          <w:szCs w:val="20"/>
        </w:rPr>
      </w:pPr>
      <w:r>
        <w:rPr>
          <w:vertAlign w:val="superscript"/>
        </w:rPr>
        <w:footnoteRef/>
      </w:r>
    </w:p>
    <w:p>
      <w:pPr>
        <w:rPr>
          <w:color w:val="000000"/>
          <w:sz w:val="20"/>
          <w:szCs w:val="20"/>
        </w:rPr>
      </w:pPr>
    </w:p>
    <w:p>
      <w:pPr>
        <w:rPr>
          <w:color w:val="000000"/>
          <w:sz w:val="20"/>
          <w:szCs w:val="20"/>
        </w:rPr>
      </w:pPr>
    </w:p>
    <w:p>
      <w:pPr>
        <w:rPr>
          <w:color w:val="000000"/>
          <w:sz w:val="20"/>
          <w:szCs w:val="20"/>
        </w:rPr>
      </w:pPr>
    </w:p>
    <w:p>
      <w:pPr>
        <w:rPr>
          <w:color w:val="000000"/>
          <w:sz w:val="20"/>
          <w:szCs w:val="20"/>
        </w:rPr>
      </w:pPr>
    </w:p>
    <w:p>
      <w:pPr>
        <w:rPr>
          <w:color w:val="000000"/>
          <w:sz w:val="20"/>
          <w:szCs w:val="20"/>
        </w:rPr>
      </w:pPr>
    </w:p>
  </w:footnote>
  <w:footnote w:id="1">
    <w:p>
      <w:r>
        <w:rPr>
          <w:vertAlign w:val="superscript"/>
        </w:rPr>
        <w:footnoteRef/>
      </w:r>
      <w:r>
        <w:t xml:space="preserve"> </w:t>
      </w:r>
      <w:r>
        <w:rPr>
          <w:sz w:val="20"/>
          <w:szCs w:val="20"/>
        </w:rPr>
        <w:t xml:space="preserve">Quarter-on-quarter GDP estimates provide a short term (within three months) picture of current economic developments. </w:t>
      </w:r>
      <w:r>
        <w:rPr>
          <w:sz w:val="21"/>
          <w:szCs w:val="21"/>
        </w:rPr>
        <w:t xml:space="preserve"> </w:t>
      </w:r>
      <w:r>
        <w:rPr>
          <w:sz w:val="20"/>
          <w:szCs w:val="20"/>
        </w:rPr>
        <w:t>Estimates are influenced by</w:t>
      </w:r>
      <w:r>
        <w:rPr>
          <w:sz w:val="21"/>
          <w:szCs w:val="21"/>
        </w:rPr>
        <w:t xml:space="preserve"> s</w:t>
      </w:r>
      <w:r>
        <w:rPr>
          <w:sz w:val="20"/>
          <w:szCs w:val="20"/>
        </w:rPr>
        <w:t>easonal patterns that are caused by economic behavior or recurrent exogenous factors such as weather patterns, holidays, religious events, festive seasons, etc.</w:t>
      </w:r>
    </w:p>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280400"/>
    <w:multiLevelType w:val="multilevel"/>
    <w:tmpl w:val="17280400"/>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2BDE0DC6"/>
    <w:multiLevelType w:val="multilevel"/>
    <w:tmpl w:val="2BDE0DC6"/>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2">
    <w:nsid w:val="50F92BCC"/>
    <w:multiLevelType w:val="multilevel"/>
    <w:tmpl w:val="50F92BC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584F1E0F"/>
    <w:multiLevelType w:val="multilevel"/>
    <w:tmpl w:val="584F1E0F"/>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decimal"/>
      <w:lvlText w:val="%2."/>
      <w:lvlJc w:val="left"/>
      <w:pPr>
        <w:ind w:left="1080" w:hanging="360"/>
      </w:p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4">
    <w:nsid w:val="650C46A8"/>
    <w:multiLevelType w:val="multilevel"/>
    <w:tmpl w:val="650C46A8"/>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decimal"/>
      <w:lvlText w:val="%2."/>
      <w:lvlJc w:val="left"/>
      <w:pPr>
        <w:ind w:left="1080" w:hanging="360"/>
      </w:p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noPunctuationKerning w:val="1"/>
  <w:characterSpacingControl w:val="doNotCompress"/>
  <w:footnotePr>
    <w:footnote w:id="4"/>
    <w:footnote w:id="5"/>
  </w:foot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BUJjU3MDczMjIzMzQyUdpeDU4uLM/DyQAkPjWgAVLXKGLQAAAA=="/>
  </w:docVars>
  <w:rsids>
    <w:rsidRoot w:val="0097406D"/>
    <w:rsid w:val="00003B87"/>
    <w:rsid w:val="00005904"/>
    <w:rsid w:val="00005CBD"/>
    <w:rsid w:val="0001012F"/>
    <w:rsid w:val="00012914"/>
    <w:rsid w:val="000213C0"/>
    <w:rsid w:val="00021FC2"/>
    <w:rsid w:val="00022AB9"/>
    <w:rsid w:val="00023D01"/>
    <w:rsid w:val="00030247"/>
    <w:rsid w:val="00032670"/>
    <w:rsid w:val="0003421F"/>
    <w:rsid w:val="000345AD"/>
    <w:rsid w:val="00042188"/>
    <w:rsid w:val="000442C6"/>
    <w:rsid w:val="000462A9"/>
    <w:rsid w:val="00047FB6"/>
    <w:rsid w:val="00050442"/>
    <w:rsid w:val="0005084C"/>
    <w:rsid w:val="00051288"/>
    <w:rsid w:val="0005174E"/>
    <w:rsid w:val="0005210A"/>
    <w:rsid w:val="00066759"/>
    <w:rsid w:val="000706F2"/>
    <w:rsid w:val="000711F5"/>
    <w:rsid w:val="000746B7"/>
    <w:rsid w:val="00082074"/>
    <w:rsid w:val="00083C06"/>
    <w:rsid w:val="00084D5B"/>
    <w:rsid w:val="00087AD8"/>
    <w:rsid w:val="000909F6"/>
    <w:rsid w:val="00097A06"/>
    <w:rsid w:val="000A01C7"/>
    <w:rsid w:val="000A04D7"/>
    <w:rsid w:val="000A0BF3"/>
    <w:rsid w:val="000A59A5"/>
    <w:rsid w:val="000B401E"/>
    <w:rsid w:val="000C512A"/>
    <w:rsid w:val="000C5FA4"/>
    <w:rsid w:val="000D0E6A"/>
    <w:rsid w:val="000D3949"/>
    <w:rsid w:val="000D4EC6"/>
    <w:rsid w:val="000D6AE9"/>
    <w:rsid w:val="000E1908"/>
    <w:rsid w:val="000E3CE6"/>
    <w:rsid w:val="000F3B58"/>
    <w:rsid w:val="000F680B"/>
    <w:rsid w:val="00101517"/>
    <w:rsid w:val="0010641D"/>
    <w:rsid w:val="001122E0"/>
    <w:rsid w:val="00112948"/>
    <w:rsid w:val="001154AD"/>
    <w:rsid w:val="0011620E"/>
    <w:rsid w:val="00117E99"/>
    <w:rsid w:val="00117FC9"/>
    <w:rsid w:val="00121786"/>
    <w:rsid w:val="00122493"/>
    <w:rsid w:val="00122862"/>
    <w:rsid w:val="00123035"/>
    <w:rsid w:val="00123EEF"/>
    <w:rsid w:val="001326FA"/>
    <w:rsid w:val="00134948"/>
    <w:rsid w:val="00134B99"/>
    <w:rsid w:val="001373DE"/>
    <w:rsid w:val="001415E0"/>
    <w:rsid w:val="00143B24"/>
    <w:rsid w:val="00144C9C"/>
    <w:rsid w:val="00144CF9"/>
    <w:rsid w:val="00144D31"/>
    <w:rsid w:val="00146E43"/>
    <w:rsid w:val="00147569"/>
    <w:rsid w:val="001502F0"/>
    <w:rsid w:val="00153B20"/>
    <w:rsid w:val="001601BB"/>
    <w:rsid w:val="001658E7"/>
    <w:rsid w:val="00165C4A"/>
    <w:rsid w:val="001660CC"/>
    <w:rsid w:val="00167467"/>
    <w:rsid w:val="00181BBF"/>
    <w:rsid w:val="001825EE"/>
    <w:rsid w:val="00186828"/>
    <w:rsid w:val="00190C2D"/>
    <w:rsid w:val="001974C2"/>
    <w:rsid w:val="001978B5"/>
    <w:rsid w:val="001A02C2"/>
    <w:rsid w:val="001A04C3"/>
    <w:rsid w:val="001A088E"/>
    <w:rsid w:val="001A2E9D"/>
    <w:rsid w:val="001A5264"/>
    <w:rsid w:val="001B3A9B"/>
    <w:rsid w:val="001B56A6"/>
    <w:rsid w:val="001B61E3"/>
    <w:rsid w:val="001B74BE"/>
    <w:rsid w:val="001B7BBE"/>
    <w:rsid w:val="001C03D3"/>
    <w:rsid w:val="001C049C"/>
    <w:rsid w:val="001C16F4"/>
    <w:rsid w:val="001C1955"/>
    <w:rsid w:val="001C3DD3"/>
    <w:rsid w:val="001C79B5"/>
    <w:rsid w:val="001D1043"/>
    <w:rsid w:val="001D6719"/>
    <w:rsid w:val="001E362D"/>
    <w:rsid w:val="001E4FD1"/>
    <w:rsid w:val="001F048D"/>
    <w:rsid w:val="001F6481"/>
    <w:rsid w:val="00200F92"/>
    <w:rsid w:val="0020333E"/>
    <w:rsid w:val="0020559A"/>
    <w:rsid w:val="00211D1F"/>
    <w:rsid w:val="00217BB6"/>
    <w:rsid w:val="00223412"/>
    <w:rsid w:val="00232408"/>
    <w:rsid w:val="0023425D"/>
    <w:rsid w:val="00234EC1"/>
    <w:rsid w:val="00237D40"/>
    <w:rsid w:val="00240C82"/>
    <w:rsid w:val="00243593"/>
    <w:rsid w:val="00244932"/>
    <w:rsid w:val="00244DEA"/>
    <w:rsid w:val="002452A3"/>
    <w:rsid w:val="00247D05"/>
    <w:rsid w:val="0026270D"/>
    <w:rsid w:val="00264E8E"/>
    <w:rsid w:val="00266E91"/>
    <w:rsid w:val="00267FA9"/>
    <w:rsid w:val="002740F7"/>
    <w:rsid w:val="002752DF"/>
    <w:rsid w:val="00276F83"/>
    <w:rsid w:val="002826C5"/>
    <w:rsid w:val="0028492B"/>
    <w:rsid w:val="00286FE5"/>
    <w:rsid w:val="00293C9A"/>
    <w:rsid w:val="002A42BF"/>
    <w:rsid w:val="002A5B10"/>
    <w:rsid w:val="002B3742"/>
    <w:rsid w:val="002C0395"/>
    <w:rsid w:val="002C167F"/>
    <w:rsid w:val="002C1B8E"/>
    <w:rsid w:val="002D1077"/>
    <w:rsid w:val="002D1E53"/>
    <w:rsid w:val="002D230F"/>
    <w:rsid w:val="002D2C6B"/>
    <w:rsid w:val="002D5581"/>
    <w:rsid w:val="002D6839"/>
    <w:rsid w:val="002D7DE1"/>
    <w:rsid w:val="002E03FE"/>
    <w:rsid w:val="002E1EC9"/>
    <w:rsid w:val="002E3CF7"/>
    <w:rsid w:val="002E71EC"/>
    <w:rsid w:val="002E7220"/>
    <w:rsid w:val="002F2569"/>
    <w:rsid w:val="002F70C1"/>
    <w:rsid w:val="00303F8B"/>
    <w:rsid w:val="00305967"/>
    <w:rsid w:val="00310872"/>
    <w:rsid w:val="00310B91"/>
    <w:rsid w:val="00311E2D"/>
    <w:rsid w:val="00313C92"/>
    <w:rsid w:val="0031475D"/>
    <w:rsid w:val="0031611D"/>
    <w:rsid w:val="0031687D"/>
    <w:rsid w:val="003204B6"/>
    <w:rsid w:val="0032503D"/>
    <w:rsid w:val="00333796"/>
    <w:rsid w:val="0033741B"/>
    <w:rsid w:val="0034023E"/>
    <w:rsid w:val="0034089B"/>
    <w:rsid w:val="00342F02"/>
    <w:rsid w:val="0034587D"/>
    <w:rsid w:val="00346D3A"/>
    <w:rsid w:val="00347C16"/>
    <w:rsid w:val="0035070A"/>
    <w:rsid w:val="003508A9"/>
    <w:rsid w:val="003514A1"/>
    <w:rsid w:val="00356D25"/>
    <w:rsid w:val="003576F6"/>
    <w:rsid w:val="00360134"/>
    <w:rsid w:val="00360D72"/>
    <w:rsid w:val="003648BC"/>
    <w:rsid w:val="00365CC4"/>
    <w:rsid w:val="00367B59"/>
    <w:rsid w:val="00367F98"/>
    <w:rsid w:val="003722A4"/>
    <w:rsid w:val="00373514"/>
    <w:rsid w:val="00375179"/>
    <w:rsid w:val="00394B9A"/>
    <w:rsid w:val="00396416"/>
    <w:rsid w:val="00397248"/>
    <w:rsid w:val="003A00CA"/>
    <w:rsid w:val="003A3014"/>
    <w:rsid w:val="003A3550"/>
    <w:rsid w:val="003A411B"/>
    <w:rsid w:val="003A64B3"/>
    <w:rsid w:val="003B3D7B"/>
    <w:rsid w:val="003B62DF"/>
    <w:rsid w:val="003C1BEF"/>
    <w:rsid w:val="003C1FE7"/>
    <w:rsid w:val="003C5666"/>
    <w:rsid w:val="003C6949"/>
    <w:rsid w:val="003D605F"/>
    <w:rsid w:val="003E00B6"/>
    <w:rsid w:val="003E4B59"/>
    <w:rsid w:val="003E53C2"/>
    <w:rsid w:val="003E6713"/>
    <w:rsid w:val="003E68D4"/>
    <w:rsid w:val="003F4D6D"/>
    <w:rsid w:val="003F7A3A"/>
    <w:rsid w:val="00404D2A"/>
    <w:rsid w:val="00413975"/>
    <w:rsid w:val="0041456A"/>
    <w:rsid w:val="0041664E"/>
    <w:rsid w:val="00416759"/>
    <w:rsid w:val="00422A1D"/>
    <w:rsid w:val="0042491A"/>
    <w:rsid w:val="00431E86"/>
    <w:rsid w:val="00435723"/>
    <w:rsid w:val="00436F73"/>
    <w:rsid w:val="00440124"/>
    <w:rsid w:val="004408E0"/>
    <w:rsid w:val="00441703"/>
    <w:rsid w:val="00441B2D"/>
    <w:rsid w:val="0044481F"/>
    <w:rsid w:val="0044590B"/>
    <w:rsid w:val="004478A7"/>
    <w:rsid w:val="00451304"/>
    <w:rsid w:val="00453F86"/>
    <w:rsid w:val="00454136"/>
    <w:rsid w:val="004632BA"/>
    <w:rsid w:val="00465600"/>
    <w:rsid w:val="00466E3F"/>
    <w:rsid w:val="00471DC4"/>
    <w:rsid w:val="0047405C"/>
    <w:rsid w:val="004740AF"/>
    <w:rsid w:val="00474183"/>
    <w:rsid w:val="004752DC"/>
    <w:rsid w:val="004765E0"/>
    <w:rsid w:val="00480A3E"/>
    <w:rsid w:val="00482CB4"/>
    <w:rsid w:val="0048386C"/>
    <w:rsid w:val="00484CE1"/>
    <w:rsid w:val="00491A91"/>
    <w:rsid w:val="004A0BD6"/>
    <w:rsid w:val="004A3FDF"/>
    <w:rsid w:val="004B0676"/>
    <w:rsid w:val="004B53C9"/>
    <w:rsid w:val="004B7904"/>
    <w:rsid w:val="004C1548"/>
    <w:rsid w:val="004C2C53"/>
    <w:rsid w:val="004C38CA"/>
    <w:rsid w:val="004C3B85"/>
    <w:rsid w:val="004C644B"/>
    <w:rsid w:val="004C6C85"/>
    <w:rsid w:val="004C7685"/>
    <w:rsid w:val="004D1F36"/>
    <w:rsid w:val="004D2EBB"/>
    <w:rsid w:val="004D6CB2"/>
    <w:rsid w:val="004D7065"/>
    <w:rsid w:val="004F1072"/>
    <w:rsid w:val="004F1389"/>
    <w:rsid w:val="004F23B7"/>
    <w:rsid w:val="004F42D4"/>
    <w:rsid w:val="004F6591"/>
    <w:rsid w:val="004F65F3"/>
    <w:rsid w:val="004F7672"/>
    <w:rsid w:val="00502CDE"/>
    <w:rsid w:val="005049FA"/>
    <w:rsid w:val="00505CF4"/>
    <w:rsid w:val="00505E1D"/>
    <w:rsid w:val="005060A5"/>
    <w:rsid w:val="00506B30"/>
    <w:rsid w:val="00507412"/>
    <w:rsid w:val="0051453A"/>
    <w:rsid w:val="00516193"/>
    <w:rsid w:val="005169A1"/>
    <w:rsid w:val="00523514"/>
    <w:rsid w:val="00524602"/>
    <w:rsid w:val="00525033"/>
    <w:rsid w:val="0052653B"/>
    <w:rsid w:val="00532A8F"/>
    <w:rsid w:val="005336AC"/>
    <w:rsid w:val="00536F20"/>
    <w:rsid w:val="00541F2A"/>
    <w:rsid w:val="00544F0F"/>
    <w:rsid w:val="00545A54"/>
    <w:rsid w:val="005472C6"/>
    <w:rsid w:val="00547C01"/>
    <w:rsid w:val="0055139F"/>
    <w:rsid w:val="0055455F"/>
    <w:rsid w:val="00556A10"/>
    <w:rsid w:val="00557A42"/>
    <w:rsid w:val="0056207F"/>
    <w:rsid w:val="00565565"/>
    <w:rsid w:val="0057188E"/>
    <w:rsid w:val="00574C69"/>
    <w:rsid w:val="00577426"/>
    <w:rsid w:val="00581288"/>
    <w:rsid w:val="00583F2B"/>
    <w:rsid w:val="005927DA"/>
    <w:rsid w:val="005935B6"/>
    <w:rsid w:val="00593C4B"/>
    <w:rsid w:val="0059420F"/>
    <w:rsid w:val="00594A68"/>
    <w:rsid w:val="00594F16"/>
    <w:rsid w:val="005A17E8"/>
    <w:rsid w:val="005A1B8E"/>
    <w:rsid w:val="005A2B69"/>
    <w:rsid w:val="005A32FF"/>
    <w:rsid w:val="005A3337"/>
    <w:rsid w:val="005B18E8"/>
    <w:rsid w:val="005B39C9"/>
    <w:rsid w:val="005B47CE"/>
    <w:rsid w:val="005B5A42"/>
    <w:rsid w:val="005B7B0F"/>
    <w:rsid w:val="005C006A"/>
    <w:rsid w:val="005C0073"/>
    <w:rsid w:val="005C040D"/>
    <w:rsid w:val="005C14DE"/>
    <w:rsid w:val="005C222C"/>
    <w:rsid w:val="005C7946"/>
    <w:rsid w:val="005D132E"/>
    <w:rsid w:val="005D1F1B"/>
    <w:rsid w:val="005D5EC6"/>
    <w:rsid w:val="005E06B3"/>
    <w:rsid w:val="005E2D6C"/>
    <w:rsid w:val="005E5010"/>
    <w:rsid w:val="005E6993"/>
    <w:rsid w:val="005E71B4"/>
    <w:rsid w:val="005F2772"/>
    <w:rsid w:val="00600674"/>
    <w:rsid w:val="0060162E"/>
    <w:rsid w:val="00604E3C"/>
    <w:rsid w:val="00614A17"/>
    <w:rsid w:val="006150F1"/>
    <w:rsid w:val="00623695"/>
    <w:rsid w:val="00624205"/>
    <w:rsid w:val="00624853"/>
    <w:rsid w:val="00627831"/>
    <w:rsid w:val="006328A2"/>
    <w:rsid w:val="0063559E"/>
    <w:rsid w:val="00636E50"/>
    <w:rsid w:val="0064224A"/>
    <w:rsid w:val="00647355"/>
    <w:rsid w:val="0065093F"/>
    <w:rsid w:val="006509AF"/>
    <w:rsid w:val="0065115D"/>
    <w:rsid w:val="00653E08"/>
    <w:rsid w:val="00655317"/>
    <w:rsid w:val="006577FB"/>
    <w:rsid w:val="00661244"/>
    <w:rsid w:val="00661EDC"/>
    <w:rsid w:val="00663C09"/>
    <w:rsid w:val="0066557D"/>
    <w:rsid w:val="00670F55"/>
    <w:rsid w:val="00671422"/>
    <w:rsid w:val="006741B9"/>
    <w:rsid w:val="00681038"/>
    <w:rsid w:val="006865C8"/>
    <w:rsid w:val="00692C0D"/>
    <w:rsid w:val="00697A1D"/>
    <w:rsid w:val="006A5C39"/>
    <w:rsid w:val="006B2950"/>
    <w:rsid w:val="006B5DC7"/>
    <w:rsid w:val="006B5FD1"/>
    <w:rsid w:val="006C0A7B"/>
    <w:rsid w:val="006C2863"/>
    <w:rsid w:val="006C3606"/>
    <w:rsid w:val="006C51D2"/>
    <w:rsid w:val="006C5758"/>
    <w:rsid w:val="006D6DE0"/>
    <w:rsid w:val="006D70AC"/>
    <w:rsid w:val="006D7A64"/>
    <w:rsid w:val="006E2571"/>
    <w:rsid w:val="006E343E"/>
    <w:rsid w:val="006E715C"/>
    <w:rsid w:val="006E7E69"/>
    <w:rsid w:val="006F1385"/>
    <w:rsid w:val="00702148"/>
    <w:rsid w:val="00706A23"/>
    <w:rsid w:val="00725067"/>
    <w:rsid w:val="00743EF0"/>
    <w:rsid w:val="007460B1"/>
    <w:rsid w:val="00747BA9"/>
    <w:rsid w:val="00760E28"/>
    <w:rsid w:val="0076763B"/>
    <w:rsid w:val="00767F0E"/>
    <w:rsid w:val="00773E64"/>
    <w:rsid w:val="0077659D"/>
    <w:rsid w:val="0078090B"/>
    <w:rsid w:val="0078172D"/>
    <w:rsid w:val="0079565D"/>
    <w:rsid w:val="007961DB"/>
    <w:rsid w:val="007A0D4A"/>
    <w:rsid w:val="007A4235"/>
    <w:rsid w:val="007B2302"/>
    <w:rsid w:val="007B7E59"/>
    <w:rsid w:val="007C177B"/>
    <w:rsid w:val="007C5072"/>
    <w:rsid w:val="007C5746"/>
    <w:rsid w:val="007C63EA"/>
    <w:rsid w:val="007C697C"/>
    <w:rsid w:val="007D16B3"/>
    <w:rsid w:val="007D5458"/>
    <w:rsid w:val="007E1B27"/>
    <w:rsid w:val="007E4523"/>
    <w:rsid w:val="007F2FE9"/>
    <w:rsid w:val="007F4AE5"/>
    <w:rsid w:val="007F62CA"/>
    <w:rsid w:val="0080158A"/>
    <w:rsid w:val="0080556F"/>
    <w:rsid w:val="00805576"/>
    <w:rsid w:val="008056C4"/>
    <w:rsid w:val="00813BBD"/>
    <w:rsid w:val="00814904"/>
    <w:rsid w:val="0081659D"/>
    <w:rsid w:val="00816716"/>
    <w:rsid w:val="008173E9"/>
    <w:rsid w:val="00820ABD"/>
    <w:rsid w:val="0082110E"/>
    <w:rsid w:val="00821472"/>
    <w:rsid w:val="00824159"/>
    <w:rsid w:val="0082551B"/>
    <w:rsid w:val="00826C63"/>
    <w:rsid w:val="00830EA1"/>
    <w:rsid w:val="00831740"/>
    <w:rsid w:val="00832729"/>
    <w:rsid w:val="00841770"/>
    <w:rsid w:val="00842BDD"/>
    <w:rsid w:val="00847231"/>
    <w:rsid w:val="00847D00"/>
    <w:rsid w:val="008521F3"/>
    <w:rsid w:val="0085520A"/>
    <w:rsid w:val="00856BD0"/>
    <w:rsid w:val="0086179E"/>
    <w:rsid w:val="008648C4"/>
    <w:rsid w:val="00871986"/>
    <w:rsid w:val="00874896"/>
    <w:rsid w:val="0087508A"/>
    <w:rsid w:val="00882F08"/>
    <w:rsid w:val="008927B9"/>
    <w:rsid w:val="00894F74"/>
    <w:rsid w:val="008A01BC"/>
    <w:rsid w:val="008A15D0"/>
    <w:rsid w:val="008A1F77"/>
    <w:rsid w:val="008A254B"/>
    <w:rsid w:val="008A3E0F"/>
    <w:rsid w:val="008A549B"/>
    <w:rsid w:val="008B02CB"/>
    <w:rsid w:val="008B4424"/>
    <w:rsid w:val="008B6942"/>
    <w:rsid w:val="008C0209"/>
    <w:rsid w:val="008C0EDE"/>
    <w:rsid w:val="008C5FC0"/>
    <w:rsid w:val="008C75B5"/>
    <w:rsid w:val="008C7BFE"/>
    <w:rsid w:val="008D279E"/>
    <w:rsid w:val="008D4F3D"/>
    <w:rsid w:val="008D6DE1"/>
    <w:rsid w:val="008E0972"/>
    <w:rsid w:val="008E6B93"/>
    <w:rsid w:val="008E6EBF"/>
    <w:rsid w:val="008F1792"/>
    <w:rsid w:val="008F1918"/>
    <w:rsid w:val="008F4DAE"/>
    <w:rsid w:val="008F6A1D"/>
    <w:rsid w:val="008F6EF9"/>
    <w:rsid w:val="00902B54"/>
    <w:rsid w:val="0090543C"/>
    <w:rsid w:val="009130BB"/>
    <w:rsid w:val="00915DE2"/>
    <w:rsid w:val="00915E22"/>
    <w:rsid w:val="0092391F"/>
    <w:rsid w:val="009278DD"/>
    <w:rsid w:val="00931A72"/>
    <w:rsid w:val="00936FE2"/>
    <w:rsid w:val="00944F5B"/>
    <w:rsid w:val="00945A4A"/>
    <w:rsid w:val="009513D3"/>
    <w:rsid w:val="00952C33"/>
    <w:rsid w:val="00952FE6"/>
    <w:rsid w:val="00953BC3"/>
    <w:rsid w:val="00954244"/>
    <w:rsid w:val="00955501"/>
    <w:rsid w:val="009625A5"/>
    <w:rsid w:val="00964111"/>
    <w:rsid w:val="00967687"/>
    <w:rsid w:val="00967C28"/>
    <w:rsid w:val="0097406D"/>
    <w:rsid w:val="0097674B"/>
    <w:rsid w:val="0097686D"/>
    <w:rsid w:val="009774B7"/>
    <w:rsid w:val="009778B8"/>
    <w:rsid w:val="00987237"/>
    <w:rsid w:val="00991ABA"/>
    <w:rsid w:val="009A252C"/>
    <w:rsid w:val="009A3F39"/>
    <w:rsid w:val="009A798E"/>
    <w:rsid w:val="009B0FE0"/>
    <w:rsid w:val="009B10FB"/>
    <w:rsid w:val="009B1F59"/>
    <w:rsid w:val="009B485F"/>
    <w:rsid w:val="009B5E89"/>
    <w:rsid w:val="009B63BF"/>
    <w:rsid w:val="009C0456"/>
    <w:rsid w:val="009C188A"/>
    <w:rsid w:val="009D1D8A"/>
    <w:rsid w:val="009E24C6"/>
    <w:rsid w:val="009E4F71"/>
    <w:rsid w:val="009E6840"/>
    <w:rsid w:val="009F27BB"/>
    <w:rsid w:val="009F3B12"/>
    <w:rsid w:val="009F5EC3"/>
    <w:rsid w:val="00A02B2E"/>
    <w:rsid w:val="00A0731F"/>
    <w:rsid w:val="00A07404"/>
    <w:rsid w:val="00A205BC"/>
    <w:rsid w:val="00A210BC"/>
    <w:rsid w:val="00A21DE1"/>
    <w:rsid w:val="00A235CC"/>
    <w:rsid w:val="00A27628"/>
    <w:rsid w:val="00A319B0"/>
    <w:rsid w:val="00A36CAB"/>
    <w:rsid w:val="00A42462"/>
    <w:rsid w:val="00A425B9"/>
    <w:rsid w:val="00A436E2"/>
    <w:rsid w:val="00A44792"/>
    <w:rsid w:val="00A4738E"/>
    <w:rsid w:val="00A530C8"/>
    <w:rsid w:val="00A556EF"/>
    <w:rsid w:val="00A61AFA"/>
    <w:rsid w:val="00A61DB2"/>
    <w:rsid w:val="00A61DCE"/>
    <w:rsid w:val="00A62C79"/>
    <w:rsid w:val="00A705D0"/>
    <w:rsid w:val="00A7399F"/>
    <w:rsid w:val="00A75487"/>
    <w:rsid w:val="00A80737"/>
    <w:rsid w:val="00A81BEC"/>
    <w:rsid w:val="00A846DD"/>
    <w:rsid w:val="00A90DD9"/>
    <w:rsid w:val="00A91F4A"/>
    <w:rsid w:val="00A9207C"/>
    <w:rsid w:val="00A976B9"/>
    <w:rsid w:val="00AA1EAD"/>
    <w:rsid w:val="00AA681F"/>
    <w:rsid w:val="00AA7DDE"/>
    <w:rsid w:val="00AA7DEF"/>
    <w:rsid w:val="00AB1E91"/>
    <w:rsid w:val="00AB3867"/>
    <w:rsid w:val="00AC03AA"/>
    <w:rsid w:val="00AC729C"/>
    <w:rsid w:val="00AC7FD3"/>
    <w:rsid w:val="00AD1324"/>
    <w:rsid w:val="00AD53F8"/>
    <w:rsid w:val="00AE16B9"/>
    <w:rsid w:val="00AE2C48"/>
    <w:rsid w:val="00AF351F"/>
    <w:rsid w:val="00AF3675"/>
    <w:rsid w:val="00AF4332"/>
    <w:rsid w:val="00AF5587"/>
    <w:rsid w:val="00AF6131"/>
    <w:rsid w:val="00AF6AD9"/>
    <w:rsid w:val="00AF720D"/>
    <w:rsid w:val="00B013FE"/>
    <w:rsid w:val="00B10FED"/>
    <w:rsid w:val="00B121F4"/>
    <w:rsid w:val="00B16C10"/>
    <w:rsid w:val="00B20089"/>
    <w:rsid w:val="00B21297"/>
    <w:rsid w:val="00B2185F"/>
    <w:rsid w:val="00B2467F"/>
    <w:rsid w:val="00B2594F"/>
    <w:rsid w:val="00B3025E"/>
    <w:rsid w:val="00B3375D"/>
    <w:rsid w:val="00B36896"/>
    <w:rsid w:val="00B374B5"/>
    <w:rsid w:val="00B4265E"/>
    <w:rsid w:val="00B42AA6"/>
    <w:rsid w:val="00B44BFF"/>
    <w:rsid w:val="00B609D7"/>
    <w:rsid w:val="00B61F61"/>
    <w:rsid w:val="00B6274B"/>
    <w:rsid w:val="00B7026A"/>
    <w:rsid w:val="00B7298F"/>
    <w:rsid w:val="00B72A08"/>
    <w:rsid w:val="00B72B49"/>
    <w:rsid w:val="00B74779"/>
    <w:rsid w:val="00B74EC8"/>
    <w:rsid w:val="00B766D1"/>
    <w:rsid w:val="00B77E98"/>
    <w:rsid w:val="00B77ECF"/>
    <w:rsid w:val="00B84329"/>
    <w:rsid w:val="00B91886"/>
    <w:rsid w:val="00B958CD"/>
    <w:rsid w:val="00B96AEE"/>
    <w:rsid w:val="00BA16E2"/>
    <w:rsid w:val="00BA3890"/>
    <w:rsid w:val="00BA3BED"/>
    <w:rsid w:val="00BB3342"/>
    <w:rsid w:val="00BB71C0"/>
    <w:rsid w:val="00BB78E5"/>
    <w:rsid w:val="00BC0FFC"/>
    <w:rsid w:val="00BC1378"/>
    <w:rsid w:val="00BC6600"/>
    <w:rsid w:val="00BC6C02"/>
    <w:rsid w:val="00BC6E2B"/>
    <w:rsid w:val="00BD1BE7"/>
    <w:rsid w:val="00BD1D09"/>
    <w:rsid w:val="00BD3997"/>
    <w:rsid w:val="00BD6733"/>
    <w:rsid w:val="00BE0379"/>
    <w:rsid w:val="00BE2E35"/>
    <w:rsid w:val="00BE7BD5"/>
    <w:rsid w:val="00BF2574"/>
    <w:rsid w:val="00BF3820"/>
    <w:rsid w:val="00BF4CF2"/>
    <w:rsid w:val="00C020D9"/>
    <w:rsid w:val="00C022A4"/>
    <w:rsid w:val="00C02FD7"/>
    <w:rsid w:val="00C03CD1"/>
    <w:rsid w:val="00C04424"/>
    <w:rsid w:val="00C04656"/>
    <w:rsid w:val="00C0491E"/>
    <w:rsid w:val="00C04B36"/>
    <w:rsid w:val="00C06B70"/>
    <w:rsid w:val="00C10262"/>
    <w:rsid w:val="00C11035"/>
    <w:rsid w:val="00C23622"/>
    <w:rsid w:val="00C23D26"/>
    <w:rsid w:val="00C24DBD"/>
    <w:rsid w:val="00C24DFD"/>
    <w:rsid w:val="00C263E5"/>
    <w:rsid w:val="00C27170"/>
    <w:rsid w:val="00C27E0E"/>
    <w:rsid w:val="00C36BFD"/>
    <w:rsid w:val="00C47E07"/>
    <w:rsid w:val="00C518FE"/>
    <w:rsid w:val="00C52DFA"/>
    <w:rsid w:val="00C56F83"/>
    <w:rsid w:val="00C66305"/>
    <w:rsid w:val="00C72271"/>
    <w:rsid w:val="00C778FD"/>
    <w:rsid w:val="00C8038B"/>
    <w:rsid w:val="00C8106E"/>
    <w:rsid w:val="00C844A3"/>
    <w:rsid w:val="00C869B5"/>
    <w:rsid w:val="00C879EF"/>
    <w:rsid w:val="00C9104F"/>
    <w:rsid w:val="00C94BA7"/>
    <w:rsid w:val="00C97137"/>
    <w:rsid w:val="00C971EE"/>
    <w:rsid w:val="00CA031F"/>
    <w:rsid w:val="00CA067A"/>
    <w:rsid w:val="00CA4828"/>
    <w:rsid w:val="00CA5160"/>
    <w:rsid w:val="00CB0F33"/>
    <w:rsid w:val="00CB13F8"/>
    <w:rsid w:val="00CB180C"/>
    <w:rsid w:val="00CB48CC"/>
    <w:rsid w:val="00CB590A"/>
    <w:rsid w:val="00CC4F21"/>
    <w:rsid w:val="00CC6E9B"/>
    <w:rsid w:val="00CC7D8F"/>
    <w:rsid w:val="00CD01FA"/>
    <w:rsid w:val="00CD1133"/>
    <w:rsid w:val="00CE04A3"/>
    <w:rsid w:val="00CE1F29"/>
    <w:rsid w:val="00CE2F92"/>
    <w:rsid w:val="00CE5A92"/>
    <w:rsid w:val="00CE7A1D"/>
    <w:rsid w:val="00CF3DD9"/>
    <w:rsid w:val="00D01961"/>
    <w:rsid w:val="00D03F1E"/>
    <w:rsid w:val="00D042A9"/>
    <w:rsid w:val="00D050FD"/>
    <w:rsid w:val="00D12D56"/>
    <w:rsid w:val="00D141BB"/>
    <w:rsid w:val="00D1430A"/>
    <w:rsid w:val="00D257B8"/>
    <w:rsid w:val="00D259E4"/>
    <w:rsid w:val="00D25BF1"/>
    <w:rsid w:val="00D26610"/>
    <w:rsid w:val="00D33133"/>
    <w:rsid w:val="00D338F4"/>
    <w:rsid w:val="00D33BF8"/>
    <w:rsid w:val="00D410DC"/>
    <w:rsid w:val="00D41152"/>
    <w:rsid w:val="00D43817"/>
    <w:rsid w:val="00D44BB7"/>
    <w:rsid w:val="00D46EEF"/>
    <w:rsid w:val="00D500FC"/>
    <w:rsid w:val="00D544A9"/>
    <w:rsid w:val="00D55675"/>
    <w:rsid w:val="00D62551"/>
    <w:rsid w:val="00D64876"/>
    <w:rsid w:val="00D64B0C"/>
    <w:rsid w:val="00D70FF8"/>
    <w:rsid w:val="00D7202D"/>
    <w:rsid w:val="00D720A8"/>
    <w:rsid w:val="00D74B6C"/>
    <w:rsid w:val="00D839D5"/>
    <w:rsid w:val="00D84B0B"/>
    <w:rsid w:val="00D85540"/>
    <w:rsid w:val="00D86A96"/>
    <w:rsid w:val="00D87A03"/>
    <w:rsid w:val="00D87E05"/>
    <w:rsid w:val="00D95557"/>
    <w:rsid w:val="00D96203"/>
    <w:rsid w:val="00D96217"/>
    <w:rsid w:val="00D97ADD"/>
    <w:rsid w:val="00DA22E9"/>
    <w:rsid w:val="00DA2C01"/>
    <w:rsid w:val="00DA59EB"/>
    <w:rsid w:val="00DB2EA8"/>
    <w:rsid w:val="00DC043D"/>
    <w:rsid w:val="00DC2031"/>
    <w:rsid w:val="00DC3C77"/>
    <w:rsid w:val="00DC5BF0"/>
    <w:rsid w:val="00DC5FC5"/>
    <w:rsid w:val="00DD5AE3"/>
    <w:rsid w:val="00DE2592"/>
    <w:rsid w:val="00DE5892"/>
    <w:rsid w:val="00DF669F"/>
    <w:rsid w:val="00E000DD"/>
    <w:rsid w:val="00E02E50"/>
    <w:rsid w:val="00E0550A"/>
    <w:rsid w:val="00E05E38"/>
    <w:rsid w:val="00E11571"/>
    <w:rsid w:val="00E11D71"/>
    <w:rsid w:val="00E11E31"/>
    <w:rsid w:val="00E14A18"/>
    <w:rsid w:val="00E15F8B"/>
    <w:rsid w:val="00E24036"/>
    <w:rsid w:val="00E31FE8"/>
    <w:rsid w:val="00E337AC"/>
    <w:rsid w:val="00E36451"/>
    <w:rsid w:val="00E40378"/>
    <w:rsid w:val="00E4096E"/>
    <w:rsid w:val="00E4180C"/>
    <w:rsid w:val="00E41880"/>
    <w:rsid w:val="00E42860"/>
    <w:rsid w:val="00E442AE"/>
    <w:rsid w:val="00E445C0"/>
    <w:rsid w:val="00E51619"/>
    <w:rsid w:val="00E536AD"/>
    <w:rsid w:val="00E615FD"/>
    <w:rsid w:val="00E6282C"/>
    <w:rsid w:val="00E62F28"/>
    <w:rsid w:val="00E671F0"/>
    <w:rsid w:val="00E72165"/>
    <w:rsid w:val="00E72BEE"/>
    <w:rsid w:val="00E803C3"/>
    <w:rsid w:val="00E81594"/>
    <w:rsid w:val="00E91CAA"/>
    <w:rsid w:val="00E95336"/>
    <w:rsid w:val="00E958A9"/>
    <w:rsid w:val="00EA048C"/>
    <w:rsid w:val="00EA4C73"/>
    <w:rsid w:val="00EA7A87"/>
    <w:rsid w:val="00EA7F27"/>
    <w:rsid w:val="00EB0509"/>
    <w:rsid w:val="00EB0C61"/>
    <w:rsid w:val="00EB17CA"/>
    <w:rsid w:val="00EB33ED"/>
    <w:rsid w:val="00EB43C8"/>
    <w:rsid w:val="00EB5379"/>
    <w:rsid w:val="00EC42A8"/>
    <w:rsid w:val="00EC4DF0"/>
    <w:rsid w:val="00EC5B37"/>
    <w:rsid w:val="00EC6068"/>
    <w:rsid w:val="00EC681C"/>
    <w:rsid w:val="00ED25E6"/>
    <w:rsid w:val="00ED39C6"/>
    <w:rsid w:val="00ED46A3"/>
    <w:rsid w:val="00EE0885"/>
    <w:rsid w:val="00EE7B40"/>
    <w:rsid w:val="00EE7F43"/>
    <w:rsid w:val="00EF0D77"/>
    <w:rsid w:val="00EF29D9"/>
    <w:rsid w:val="00EF4991"/>
    <w:rsid w:val="00EF61BA"/>
    <w:rsid w:val="00F01720"/>
    <w:rsid w:val="00F10676"/>
    <w:rsid w:val="00F110C2"/>
    <w:rsid w:val="00F1175F"/>
    <w:rsid w:val="00F14DFB"/>
    <w:rsid w:val="00F23DF5"/>
    <w:rsid w:val="00F275D8"/>
    <w:rsid w:val="00F32304"/>
    <w:rsid w:val="00F346B4"/>
    <w:rsid w:val="00F34B3A"/>
    <w:rsid w:val="00F36E4A"/>
    <w:rsid w:val="00F40CE8"/>
    <w:rsid w:val="00F4466E"/>
    <w:rsid w:val="00F46568"/>
    <w:rsid w:val="00F4712C"/>
    <w:rsid w:val="00F47465"/>
    <w:rsid w:val="00F504E6"/>
    <w:rsid w:val="00F53323"/>
    <w:rsid w:val="00F558C6"/>
    <w:rsid w:val="00F619D4"/>
    <w:rsid w:val="00F65AE5"/>
    <w:rsid w:val="00F715F1"/>
    <w:rsid w:val="00F7538E"/>
    <w:rsid w:val="00F85170"/>
    <w:rsid w:val="00F85A4F"/>
    <w:rsid w:val="00F8743B"/>
    <w:rsid w:val="00F94799"/>
    <w:rsid w:val="00FA15D7"/>
    <w:rsid w:val="00FA19EB"/>
    <w:rsid w:val="00FA2D21"/>
    <w:rsid w:val="00FA7440"/>
    <w:rsid w:val="00FB0E04"/>
    <w:rsid w:val="00FB27C8"/>
    <w:rsid w:val="00FB2CA9"/>
    <w:rsid w:val="00FB2CCE"/>
    <w:rsid w:val="00FB35EE"/>
    <w:rsid w:val="00FC137E"/>
    <w:rsid w:val="00FC7407"/>
    <w:rsid w:val="00FD2849"/>
    <w:rsid w:val="00FD3439"/>
    <w:rsid w:val="00FD4524"/>
    <w:rsid w:val="00FD6105"/>
    <w:rsid w:val="00FD6E3D"/>
    <w:rsid w:val="00FD6E4C"/>
    <w:rsid w:val="00FD73B8"/>
    <w:rsid w:val="00FD7FC7"/>
    <w:rsid w:val="00FE4F29"/>
    <w:rsid w:val="00FF6031"/>
    <w:rsid w:val="04583A5F"/>
    <w:rsid w:val="05321208"/>
    <w:rsid w:val="05991B92"/>
    <w:rsid w:val="082032B1"/>
    <w:rsid w:val="08897431"/>
    <w:rsid w:val="0ABF64EE"/>
    <w:rsid w:val="0C086989"/>
    <w:rsid w:val="0E122ED0"/>
    <w:rsid w:val="1204551A"/>
    <w:rsid w:val="18775F1E"/>
    <w:rsid w:val="1ADC038D"/>
    <w:rsid w:val="1D6416CF"/>
    <w:rsid w:val="1F8D21E7"/>
    <w:rsid w:val="1F965D08"/>
    <w:rsid w:val="202E2E25"/>
    <w:rsid w:val="29474CAF"/>
    <w:rsid w:val="418D598C"/>
    <w:rsid w:val="45E561F9"/>
    <w:rsid w:val="46101F34"/>
    <w:rsid w:val="56BC542A"/>
    <w:rsid w:val="58CA1586"/>
    <w:rsid w:val="5C4001D5"/>
    <w:rsid w:val="5EDA583B"/>
    <w:rsid w:val="614C1B52"/>
    <w:rsid w:val="688020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paragraph" w:styleId="2">
    <w:name w:val="heading 1"/>
    <w:basedOn w:val="1"/>
    <w:next w:val="1"/>
    <w:qFormat/>
    <w:uiPriority w:val="9"/>
    <w:pPr>
      <w:keepNext/>
      <w:jc w:val="both"/>
      <w:outlineLvl w:val="0"/>
    </w:pPr>
    <w:rPr>
      <w:rFonts w:ascii="Tahoma" w:hAnsi="Tahoma" w:eastAsia="Tahoma" w:cs="Tahoma"/>
      <w:b/>
      <w:sz w:val="22"/>
      <w:szCs w:val="22"/>
    </w:rPr>
  </w:style>
  <w:style w:type="paragraph" w:styleId="3">
    <w:name w:val="heading 2"/>
    <w:basedOn w:val="1"/>
    <w:next w:val="1"/>
    <w:semiHidden/>
    <w:unhideWhenUsed/>
    <w:qFormat/>
    <w:uiPriority w:val="9"/>
    <w:pPr>
      <w:keepNext/>
      <w:jc w:val="center"/>
      <w:outlineLvl w:val="1"/>
    </w:pPr>
    <w:rPr>
      <w:rFonts w:ascii="Tahoma" w:hAnsi="Tahoma" w:eastAsia="Tahoma" w:cs="Tahoma"/>
      <w:b/>
      <w:sz w:val="22"/>
      <w:szCs w:val="22"/>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rPr>
  </w:style>
  <w:style w:type="paragraph" w:styleId="6">
    <w:name w:val="heading 5"/>
    <w:basedOn w:val="1"/>
    <w:next w:val="1"/>
    <w:semiHidden/>
    <w:unhideWhenUsed/>
    <w:qFormat/>
    <w:uiPriority w:val="9"/>
    <w:pPr>
      <w:keepNext/>
      <w:keepLines/>
      <w:spacing w:before="220" w:after="40"/>
      <w:outlineLvl w:val="4"/>
    </w:pPr>
    <w:rPr>
      <w:b/>
      <w:sz w:val="22"/>
      <w:szCs w:val="22"/>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link w:val="22"/>
    <w:semiHidden/>
    <w:unhideWhenUsed/>
    <w:uiPriority w:val="99"/>
    <w:rPr>
      <w:rFonts w:ascii="Segoe UI" w:hAnsi="Segoe UI" w:cs="Segoe UI"/>
      <w:sz w:val="18"/>
      <w:szCs w:val="18"/>
    </w:rPr>
  </w:style>
  <w:style w:type="character" w:styleId="11">
    <w:name w:val="annotation reference"/>
    <w:basedOn w:val="8"/>
    <w:semiHidden/>
    <w:unhideWhenUsed/>
    <w:qFormat/>
    <w:uiPriority w:val="99"/>
    <w:rPr>
      <w:sz w:val="16"/>
      <w:szCs w:val="16"/>
    </w:rPr>
  </w:style>
  <w:style w:type="paragraph" w:styleId="12">
    <w:name w:val="annotation text"/>
    <w:basedOn w:val="1"/>
    <w:link w:val="20"/>
    <w:semiHidden/>
    <w:unhideWhenUsed/>
    <w:qFormat/>
    <w:uiPriority w:val="99"/>
    <w:rPr>
      <w:sz w:val="20"/>
      <w:szCs w:val="20"/>
    </w:rPr>
  </w:style>
  <w:style w:type="paragraph" w:styleId="13">
    <w:name w:val="annotation subject"/>
    <w:basedOn w:val="12"/>
    <w:next w:val="12"/>
    <w:link w:val="21"/>
    <w:semiHidden/>
    <w:unhideWhenUsed/>
    <w:qFormat/>
    <w:uiPriority w:val="99"/>
    <w:rPr>
      <w:b/>
      <w:bCs/>
    </w:rPr>
  </w:style>
  <w:style w:type="paragraph" w:styleId="14">
    <w:name w:val="footer"/>
    <w:basedOn w:val="1"/>
    <w:link w:val="25"/>
    <w:unhideWhenUsed/>
    <w:qFormat/>
    <w:uiPriority w:val="99"/>
    <w:pPr>
      <w:tabs>
        <w:tab w:val="center" w:pos="4680"/>
        <w:tab w:val="right" w:pos="9360"/>
      </w:tabs>
    </w:pPr>
  </w:style>
  <w:style w:type="paragraph" w:styleId="15">
    <w:name w:val="header"/>
    <w:basedOn w:val="1"/>
    <w:link w:val="24"/>
    <w:unhideWhenUsed/>
    <w:qFormat/>
    <w:uiPriority w:val="99"/>
    <w:pPr>
      <w:tabs>
        <w:tab w:val="center" w:pos="4680"/>
        <w:tab w:val="right" w:pos="9360"/>
      </w:tabs>
    </w:pPr>
  </w:style>
  <w:style w:type="paragraph" w:styleId="16">
    <w:name w:val="Subtitle"/>
    <w:basedOn w:val="1"/>
    <w:next w:val="1"/>
    <w:qFormat/>
    <w:uiPriority w:val="11"/>
    <w:pPr>
      <w:keepNext/>
      <w:keepLines/>
      <w:spacing w:before="360" w:after="80"/>
    </w:pPr>
    <w:rPr>
      <w:rFonts w:ascii="Georgia" w:hAnsi="Georgia" w:eastAsia="Georgia" w:cs="Georgia"/>
      <w:i/>
      <w:color w:val="666666"/>
      <w:sz w:val="48"/>
      <w:szCs w:val="48"/>
    </w:rPr>
  </w:style>
  <w:style w:type="paragraph" w:styleId="17">
    <w:name w:val="Title"/>
    <w:basedOn w:val="1"/>
    <w:next w:val="1"/>
    <w:qFormat/>
    <w:uiPriority w:val="10"/>
    <w:pPr>
      <w:keepNext/>
      <w:keepLines/>
      <w:spacing w:before="480" w:after="120"/>
    </w:pPr>
    <w:rPr>
      <w:b/>
      <w:sz w:val="72"/>
      <w:szCs w:val="72"/>
    </w:rPr>
  </w:style>
  <w:style w:type="table" w:customStyle="1" w:styleId="18">
    <w:name w:val="_Style 11"/>
    <w:basedOn w:val="9"/>
    <w:qFormat/>
    <w:uiPriority w:val="0"/>
    <w:rPr>
      <w:rFonts w:ascii="Calibri" w:hAnsi="Calibri" w:eastAsia="Calibri" w:cs="Calibri"/>
      <w:color w:val="000000"/>
      <w:sz w:val="22"/>
      <w:szCs w:val="22"/>
    </w:rPr>
  </w:style>
  <w:style w:type="table" w:customStyle="1" w:styleId="19">
    <w:name w:val="_Style 12"/>
    <w:basedOn w:val="9"/>
    <w:qFormat/>
    <w:uiPriority w:val="0"/>
    <w:rPr>
      <w:rFonts w:ascii="Calibri" w:hAnsi="Calibri" w:eastAsia="Calibri" w:cs="Calibri"/>
      <w:color w:val="000000"/>
      <w:sz w:val="22"/>
      <w:szCs w:val="22"/>
    </w:rPr>
  </w:style>
  <w:style w:type="character" w:customStyle="1" w:styleId="20">
    <w:name w:val="Comment Text Char"/>
    <w:basedOn w:val="8"/>
    <w:link w:val="12"/>
    <w:semiHidden/>
    <w:qFormat/>
    <w:uiPriority w:val="99"/>
    <w:rPr>
      <w:sz w:val="20"/>
      <w:szCs w:val="20"/>
    </w:rPr>
  </w:style>
  <w:style w:type="character" w:customStyle="1" w:styleId="21">
    <w:name w:val="Comment Subject Char"/>
    <w:basedOn w:val="20"/>
    <w:link w:val="13"/>
    <w:semiHidden/>
    <w:qFormat/>
    <w:uiPriority w:val="99"/>
    <w:rPr>
      <w:b/>
      <w:bCs/>
      <w:sz w:val="20"/>
      <w:szCs w:val="20"/>
    </w:rPr>
  </w:style>
  <w:style w:type="character" w:customStyle="1" w:styleId="22">
    <w:name w:val="Balloon Text Char"/>
    <w:basedOn w:val="8"/>
    <w:link w:val="10"/>
    <w:semiHidden/>
    <w:qFormat/>
    <w:uiPriority w:val="99"/>
    <w:rPr>
      <w:rFonts w:ascii="Segoe UI" w:hAnsi="Segoe UI" w:cs="Segoe UI"/>
      <w:sz w:val="18"/>
      <w:szCs w:val="18"/>
    </w:rPr>
  </w:style>
  <w:style w:type="paragraph" w:styleId="23">
    <w:name w:val="List Paragraph"/>
    <w:basedOn w:val="1"/>
    <w:qFormat/>
    <w:uiPriority w:val="34"/>
    <w:pPr>
      <w:ind w:left="720"/>
      <w:contextualSpacing/>
    </w:pPr>
  </w:style>
  <w:style w:type="character" w:customStyle="1" w:styleId="24">
    <w:name w:val="Header Char"/>
    <w:basedOn w:val="8"/>
    <w:link w:val="15"/>
    <w:qFormat/>
    <w:uiPriority w:val="99"/>
  </w:style>
  <w:style w:type="character" w:customStyle="1" w:styleId="25">
    <w:name w:val="Footer Char"/>
    <w:basedOn w:val="8"/>
    <w:link w:val="14"/>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chart" Target="charts/chart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emf"/><Relationship Id="rId11" Type="http://schemas.openxmlformats.org/officeDocument/2006/relationships/image" Target="media/image5.emf"/><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9794174776862"/>
          <c:y val="0.0339452328791083"/>
          <c:w val="0.940411700975081"/>
          <c:h val="0.844994804295116"/>
        </c:manualLayout>
      </c:layout>
      <c:barChart>
        <c:barDir val="col"/>
        <c:grouping val="clustered"/>
        <c:varyColors val="0"/>
        <c:ser>
          <c:idx val="0"/>
          <c:order val="0"/>
          <c:tx>
            <c:strRef>
              <c:f>'TimeSeriesQGDP-const'!$AR$28</c:f>
              <c:strCache>
                <c:ptCount val="1"/>
                <c:pt idx="0">
                  <c:v>Oil GDP</c:v>
                </c:pt>
              </c:strCache>
            </c:strRef>
          </c:tx>
          <c:spPr>
            <a:solidFill>
              <a:schemeClr val="accent1"/>
            </a:solidFill>
            <a:ln>
              <a:noFill/>
            </a:ln>
            <a:effectLst/>
          </c:spPr>
          <c:invertIfNegative val="0"/>
          <c:dLbls>
            <c:dLbl>
              <c:idx val="4"/>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accent1"/>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0.0111111111111111"/>
                  <c:y val="0.0086666673490814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0555555555555566"/>
                  <c:y val="0.0216666683727035"/>
                </c:manualLayout>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accent1"/>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'TimeSeriesQGDP-const'!$AQ$43:$AQ$51</c:f>
              <c:strCache>
                <c:ptCount val="9"/>
                <c:pt idx="0">
                  <c:v>2020Q3</c:v>
                </c:pt>
                <c:pt idx="1">
                  <c:v>2020Q4</c:v>
                </c:pt>
                <c:pt idx="2">
                  <c:v>2021Q1</c:v>
                </c:pt>
                <c:pt idx="3">
                  <c:v>2021Q2</c:v>
                </c:pt>
                <c:pt idx="4">
                  <c:v>2021Q3</c:v>
                </c:pt>
                <c:pt idx="5">
                  <c:v>2021Q4</c:v>
                </c:pt>
                <c:pt idx="6">
                  <c:v>2022Q1</c:v>
                </c:pt>
                <c:pt idx="7">
                  <c:v>2022Q2</c:v>
                </c:pt>
                <c:pt idx="8">
                  <c:v>2022Q3</c:v>
                </c:pt>
              </c:strCache>
            </c:strRef>
          </c:cat>
          <c:val>
            <c:numRef>
              <c:f>'TimeSeriesQGDP-const'!$AR$43:$AR$51</c:f>
              <c:numCache>
                <c:formatCode>0.0%</c:formatCode>
                <c:ptCount val="9"/>
                <c:pt idx="0">
                  <c:v>-0.0325734749686181</c:v>
                </c:pt>
                <c:pt idx="1">
                  <c:v>0.043027534083355</c:v>
                </c:pt>
                <c:pt idx="2">
                  <c:v>0.0362910582891809</c:v>
                </c:pt>
                <c:pt idx="3">
                  <c:v>0.0418346989480551</c:v>
                </c:pt>
                <c:pt idx="4">
                  <c:v>0.0648244454228781</c:v>
                </c:pt>
                <c:pt idx="5">
                  <c:v>0.0703475172103101</c:v>
                </c:pt>
                <c:pt idx="6">
                  <c:v>0.0302784934245164</c:v>
                </c:pt>
                <c:pt idx="7">
                  <c:v>0.0469595470336461</c:v>
                </c:pt>
                <c:pt idx="8">
                  <c:v>0.0293878766503231</c:v>
                </c:pt>
              </c:numCache>
            </c:numRef>
          </c:val>
        </c:ser>
        <c:ser>
          <c:idx val="1"/>
          <c:order val="1"/>
          <c:tx>
            <c:strRef>
              <c:f>'TimeSeriesQGDP-const'!$AS$28</c:f>
              <c:strCache>
                <c:ptCount val="1"/>
                <c:pt idx="0">
                  <c:v>Non-Oil GDP</c:v>
                </c:pt>
              </c:strCache>
            </c:strRef>
          </c:tx>
          <c:spPr>
            <a:solidFill>
              <a:schemeClr val="accent2"/>
            </a:solidFill>
            <a:ln>
              <a:noFill/>
            </a:ln>
            <a:effectLst/>
          </c:spPr>
          <c:invertIfNegative val="0"/>
          <c:dLbls>
            <c:dLbl>
              <c:idx val="4"/>
              <c:layout>
                <c:manualLayout>
                  <c:x val="0.011111111111111"/>
                  <c:y val="0.00866666734908142"/>
                </c:manualLayout>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rgbClr val="FF0000"/>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138888888888889"/>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22222222222222"/>
                  <c:y val="0.00866666734908142"/>
                </c:manualLayout>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rgbClr val="FF0000"/>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'TimeSeriesQGDP-const'!$AQ$43:$AQ$51</c:f>
              <c:strCache>
                <c:ptCount val="9"/>
                <c:pt idx="0">
                  <c:v>2020Q3</c:v>
                </c:pt>
                <c:pt idx="1">
                  <c:v>2020Q4</c:v>
                </c:pt>
                <c:pt idx="2">
                  <c:v>2021Q1</c:v>
                </c:pt>
                <c:pt idx="3">
                  <c:v>2021Q2</c:v>
                </c:pt>
                <c:pt idx="4">
                  <c:v>2021Q3</c:v>
                </c:pt>
                <c:pt idx="5">
                  <c:v>2021Q4</c:v>
                </c:pt>
                <c:pt idx="6">
                  <c:v>2022Q1</c:v>
                </c:pt>
                <c:pt idx="7">
                  <c:v>2022Q2</c:v>
                </c:pt>
                <c:pt idx="8">
                  <c:v>2022Q3</c:v>
                </c:pt>
              </c:strCache>
            </c:strRef>
          </c:cat>
          <c:val>
            <c:numRef>
              <c:f>'TimeSeriesQGDP-const'!$AS$43:$AS$51</c:f>
              <c:numCache>
                <c:formatCode>0.0%</c:formatCode>
                <c:ptCount val="9"/>
                <c:pt idx="0">
                  <c:v>-0.0219814180808675</c:v>
                </c:pt>
                <c:pt idx="1">
                  <c:v>0.0565682950800268</c:v>
                </c:pt>
                <c:pt idx="2">
                  <c:v>0.0531151647775028</c:v>
                </c:pt>
                <c:pt idx="3">
                  <c:v>0.0658248488945548</c:v>
                </c:pt>
                <c:pt idx="4">
                  <c:v>0.0819751382735616</c:v>
                </c:pt>
                <c:pt idx="5">
                  <c:v>0.0758744941002141</c:v>
                </c:pt>
                <c:pt idx="6">
                  <c:v>0.0372776402057136</c:v>
                </c:pt>
                <c:pt idx="7">
                  <c:v>0.0602804472570089</c:v>
                </c:pt>
                <c:pt idx="8">
                  <c:v>0.0356057826903298</c:v>
                </c:pt>
              </c:numCache>
            </c:numRef>
          </c:val>
        </c:ser>
        <c:dLbls>
          <c:showLegendKey val="0"/>
          <c:showVal val="1"/>
          <c:showCatName val="0"/>
          <c:showSerName val="0"/>
          <c:showPercent val="0"/>
          <c:showBubbleSize val="0"/>
        </c:dLbls>
        <c:gapWidth val="219"/>
        <c:overlap val="-27"/>
        <c:axId val="452951856"/>
        <c:axId val="452960016"/>
      </c:barChart>
      <c:catAx>
        <c:axId val="45295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p>
        </c:txPr>
        <c:crossAx val="452960016"/>
        <c:crosses val="autoZero"/>
        <c:auto val="1"/>
        <c:lblAlgn val="ctr"/>
        <c:lblOffset val="100"/>
        <c:noMultiLvlLbl val="0"/>
      </c:catAx>
      <c:valAx>
        <c:axId val="452960016"/>
        <c:scaling>
          <c:orientation val="minMax"/>
        </c:scaling>
        <c:delete val="1"/>
        <c:axPos val="l"/>
        <c:numFmt formatCode="0.0%" sourceLinked="1"/>
        <c:majorTickMark val="none"/>
        <c:minorTickMark val="none"/>
        <c:tickLblPos val="nextTo"/>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4529518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73C8C7-3FED-416B-8633-2DC065CEEE19}">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1625</Words>
  <Characters>8792</Characters>
  <Lines>78</Lines>
  <Paragraphs>22</Paragraphs>
  <TotalTime>1</TotalTime>
  <ScaleCrop>false</ScaleCrop>
  <LinksUpToDate>false</LinksUpToDate>
  <CharactersWithSpaces>10619</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2022-12-20T17:57:00Z</dcterms:created>
  <dc:creator>D O</dc:creator>
  <cp:lastModifiedBy>Felix Debrah</cp:lastModifiedBy>
  <cp:lastPrinted>2022-06-22T08:51:00Z</cp:lastPrinted>
  <dcterms:modified xsi:type="dcterms:W3CDTF">2022-12-21T07:30:40Z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5A9538182DFE418A8B8B9A21AAB90189</vt:lpwstr>
  </property>
</Properties>
</file>